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word/theme/themeOverride5.xml" ContentType="application/vnd.openxmlformats-officedocument.themeOverride+xml"/>
  <Override PartName="/customXml/itemProps1.xml" ContentType="application/vnd.openxmlformats-officedocument.customXmlProperties+xml"/>
  <Override PartName="/word/theme/themeOverride3.xml" ContentType="application/vnd.openxmlformats-officedocument.themeOverride+xml"/>
  <Default Extension="jpeg" ContentType="image/jpeg"/>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word/charts/chart19.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drawings/drawing1.xml" ContentType="application/vnd.openxmlformats-officedocument.drawingml.chartshapes+xml"/>
  <Override PartName="/word/charts/chart17.xml" ContentType="application/vnd.openxmlformats-officedocument.drawingml.chart+xml"/>
  <Override PartName="/word/charts/chart18.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Default Extension="xlsx" ContentType="application/vnd.openxmlformats-officedocument.spreadsheetml.sheet"/>
  <Override PartName="/word/charts/chart13.xml" ContentType="application/vnd.openxmlformats-officedocument.drawingml.chart+xml"/>
  <Override PartName="/word/charts/chart14.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31.xml" ContentType="application/vnd.openxmlformats-officedocument.drawingml.chart+xml"/>
  <Override PartName="/word/theme/themeOverride8.xml" ContentType="application/vnd.openxmlformats-officedocument.themeOverride+xml"/>
  <Override PartName="/word/charts/chart32.xml" ContentType="application/vnd.openxmlformats-officedocument.drawingml.chart+xml"/>
  <Override PartName="/word/theme/themeOverride9.xml" ContentType="application/vnd.openxmlformats-officedocument.themeOverrid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theme/themeOverride6.xml" ContentType="application/vnd.openxmlformats-officedocument.themeOverride+xml"/>
  <Override PartName="/word/charts/chart30.xml" ContentType="application/vnd.openxmlformats-officedocument.drawingml.chart+xml"/>
  <Override PartName="/word/theme/themeOverride7.xml" ContentType="application/vnd.openxmlformats-officedocument.themeOverride+xml"/>
  <Override PartName="/docProps/core.xml" ContentType="application/vnd.openxmlformats-package.core-properties+xml"/>
  <Override PartName="/word/theme/themeOverride4.xml" ContentType="application/vnd.openxmlformats-officedocument.themeOverride+xml"/>
  <Override PartName="/word/theme/themeOverride2.xml" ContentType="application/vnd.openxmlformats-officedocument.themeOverrid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B2C" w:rsidRPr="00EC20F8" w:rsidRDefault="00282B2C" w:rsidP="00282B2C">
      <w:pPr>
        <w:pStyle w:val="17"/>
        <w:spacing w:after="0"/>
        <w:ind w:left="568" w:hanging="284"/>
        <w:jc w:val="right"/>
      </w:pPr>
      <w:bookmarkStart w:id="0" w:name="_Toc368988870"/>
      <w:bookmarkStart w:id="1" w:name="_Toc335475313"/>
      <w:bookmarkStart w:id="2" w:name="_Toc335475554"/>
      <w:bookmarkStart w:id="3" w:name="_Toc337642398"/>
      <w:r w:rsidRPr="00EC20F8">
        <w:t xml:space="preserve">Приложение 1 </w:t>
      </w:r>
    </w:p>
    <w:p w:rsidR="00282B2C" w:rsidRPr="00EC20F8" w:rsidRDefault="00282B2C" w:rsidP="00282B2C">
      <w:pPr>
        <w:pStyle w:val="17"/>
        <w:spacing w:after="0"/>
        <w:ind w:left="568" w:hanging="284"/>
        <w:jc w:val="right"/>
      </w:pPr>
      <w:r w:rsidRPr="00EC20F8">
        <w:t xml:space="preserve">к прогнозу социально-экономического </w:t>
      </w:r>
    </w:p>
    <w:p w:rsidR="00282B2C" w:rsidRPr="00EC20F8" w:rsidRDefault="00282B2C" w:rsidP="00282B2C">
      <w:pPr>
        <w:pStyle w:val="17"/>
        <w:spacing w:after="0"/>
        <w:ind w:left="568" w:hanging="284"/>
        <w:jc w:val="right"/>
      </w:pPr>
      <w:r w:rsidRPr="00EC20F8">
        <w:t xml:space="preserve">развития Петропавловск-Камчатского </w:t>
      </w:r>
    </w:p>
    <w:p w:rsidR="00282B2C" w:rsidRPr="00EC20F8" w:rsidRDefault="00282B2C" w:rsidP="00282B2C">
      <w:pPr>
        <w:pStyle w:val="17"/>
        <w:spacing w:after="0"/>
        <w:ind w:left="568" w:hanging="284"/>
        <w:jc w:val="right"/>
      </w:pPr>
      <w:r w:rsidRPr="00EC20F8">
        <w:t xml:space="preserve">городского округа на 2015 год и плановый </w:t>
      </w:r>
    </w:p>
    <w:p w:rsidR="00282B2C" w:rsidRPr="00EC20F8" w:rsidRDefault="00282B2C" w:rsidP="00282B2C">
      <w:pPr>
        <w:pStyle w:val="17"/>
        <w:spacing w:after="0"/>
        <w:ind w:left="568" w:hanging="284"/>
        <w:jc w:val="right"/>
      </w:pPr>
      <w:r w:rsidRPr="00EC20F8">
        <w:t>период  до  2017 года</w:t>
      </w:r>
    </w:p>
    <w:p w:rsidR="00282B2C" w:rsidRPr="00EC20F8" w:rsidRDefault="00282B2C" w:rsidP="00282B2C">
      <w:pPr>
        <w:pStyle w:val="17"/>
        <w:jc w:val="center"/>
      </w:pPr>
    </w:p>
    <w:p w:rsidR="00F77E60" w:rsidRPr="00EC20F8" w:rsidRDefault="00282B2C" w:rsidP="00282B2C">
      <w:pPr>
        <w:pStyle w:val="17"/>
        <w:jc w:val="center"/>
      </w:pPr>
      <w:r w:rsidRPr="00EC20F8">
        <w:t>СОДЕРЖАНИЕ</w:t>
      </w:r>
      <w:r w:rsidR="000334BA" w:rsidRPr="000334BA">
        <w:fldChar w:fldCharType="begin"/>
      </w:r>
      <w:r w:rsidRPr="00EC20F8">
        <w:instrText xml:space="preserve"> TOC \o "1-1" \h \z \u </w:instrText>
      </w:r>
      <w:r w:rsidR="000334BA" w:rsidRPr="000334BA">
        <w:fldChar w:fldCharType="separate"/>
      </w:r>
    </w:p>
    <w:p w:rsidR="00F77E60" w:rsidRPr="00EC20F8" w:rsidRDefault="000334BA">
      <w:pPr>
        <w:pStyle w:val="17"/>
        <w:rPr>
          <w:rFonts w:asciiTheme="minorHAnsi" w:eastAsiaTheme="minorEastAsia" w:hAnsiTheme="minorHAnsi" w:cstheme="minorBidi"/>
          <w:bCs w:val="0"/>
          <w:sz w:val="22"/>
          <w:szCs w:val="22"/>
          <w:lang w:eastAsia="ru-RU"/>
        </w:rPr>
      </w:pPr>
      <w:hyperlink w:anchor="_Toc400529656" w:history="1">
        <w:r w:rsidR="00F77E60" w:rsidRPr="00EC20F8">
          <w:rPr>
            <w:rStyle w:val="afb"/>
            <w:color w:val="auto"/>
          </w:rPr>
          <w:t>1. Общие положения</w:t>
        </w:r>
        <w:r w:rsidR="00F77E60" w:rsidRPr="00EC20F8">
          <w:rPr>
            <w:webHidden/>
          </w:rPr>
          <w:tab/>
        </w:r>
        <w:r w:rsidRPr="00EC20F8">
          <w:rPr>
            <w:webHidden/>
          </w:rPr>
          <w:fldChar w:fldCharType="begin"/>
        </w:r>
        <w:r w:rsidR="00F77E60" w:rsidRPr="00EC20F8">
          <w:rPr>
            <w:webHidden/>
          </w:rPr>
          <w:instrText xml:space="preserve"> PAGEREF _Toc400529656 \h </w:instrText>
        </w:r>
        <w:r w:rsidRPr="00EC20F8">
          <w:rPr>
            <w:webHidden/>
          </w:rPr>
        </w:r>
        <w:r w:rsidRPr="00EC20F8">
          <w:rPr>
            <w:webHidden/>
          </w:rPr>
          <w:fldChar w:fldCharType="separate"/>
        </w:r>
        <w:r w:rsidR="00F10C84">
          <w:rPr>
            <w:webHidden/>
          </w:rPr>
          <w:t>3</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57" w:history="1">
        <w:r w:rsidR="00F77E60" w:rsidRPr="00EC20F8">
          <w:rPr>
            <w:rStyle w:val="afb"/>
            <w:color w:val="auto"/>
          </w:rPr>
          <w:t>2. Краткая характеристика сценарных условий</w:t>
        </w:r>
        <w:r w:rsidR="00F77E60" w:rsidRPr="00EC20F8">
          <w:rPr>
            <w:webHidden/>
          </w:rPr>
          <w:tab/>
        </w:r>
        <w:r w:rsidRPr="00EC20F8">
          <w:rPr>
            <w:webHidden/>
          </w:rPr>
          <w:fldChar w:fldCharType="begin"/>
        </w:r>
        <w:r w:rsidR="00F77E60" w:rsidRPr="00EC20F8">
          <w:rPr>
            <w:webHidden/>
          </w:rPr>
          <w:instrText xml:space="preserve"> PAGEREF _Toc400529657 \h </w:instrText>
        </w:r>
        <w:r w:rsidRPr="00EC20F8">
          <w:rPr>
            <w:webHidden/>
          </w:rPr>
        </w:r>
        <w:r w:rsidRPr="00EC20F8">
          <w:rPr>
            <w:webHidden/>
          </w:rPr>
          <w:fldChar w:fldCharType="separate"/>
        </w:r>
        <w:r w:rsidR="00F10C84">
          <w:rPr>
            <w:webHidden/>
          </w:rPr>
          <w:t>4</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58" w:history="1">
        <w:r w:rsidR="00F77E60" w:rsidRPr="00EC20F8">
          <w:rPr>
            <w:rStyle w:val="afb"/>
            <w:color w:val="auto"/>
          </w:rPr>
          <w:t>3. Промышленность</w:t>
        </w:r>
        <w:r w:rsidR="00F77E60" w:rsidRPr="00EC20F8">
          <w:rPr>
            <w:webHidden/>
          </w:rPr>
          <w:tab/>
        </w:r>
        <w:r w:rsidRPr="00EC20F8">
          <w:rPr>
            <w:webHidden/>
          </w:rPr>
          <w:fldChar w:fldCharType="begin"/>
        </w:r>
        <w:r w:rsidR="00F77E60" w:rsidRPr="00EC20F8">
          <w:rPr>
            <w:webHidden/>
          </w:rPr>
          <w:instrText xml:space="preserve"> PAGEREF _Toc400529658 \h </w:instrText>
        </w:r>
        <w:r w:rsidRPr="00EC20F8">
          <w:rPr>
            <w:webHidden/>
          </w:rPr>
        </w:r>
        <w:r w:rsidRPr="00EC20F8">
          <w:rPr>
            <w:webHidden/>
          </w:rPr>
          <w:fldChar w:fldCharType="separate"/>
        </w:r>
        <w:r w:rsidR="00F10C84">
          <w:rPr>
            <w:webHidden/>
          </w:rPr>
          <w:t>6</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61" w:history="1">
        <w:r w:rsidR="00F77E60" w:rsidRPr="00EC20F8">
          <w:rPr>
            <w:rStyle w:val="afb"/>
            <w:color w:val="auto"/>
          </w:rPr>
          <w:t>4. Инвестиционная деятельность и строительство</w:t>
        </w:r>
        <w:r w:rsidR="00F77E60" w:rsidRPr="00EC20F8">
          <w:rPr>
            <w:webHidden/>
          </w:rPr>
          <w:tab/>
        </w:r>
        <w:r w:rsidRPr="00EC20F8">
          <w:rPr>
            <w:webHidden/>
          </w:rPr>
          <w:fldChar w:fldCharType="begin"/>
        </w:r>
        <w:r w:rsidR="00F77E60" w:rsidRPr="00EC20F8">
          <w:rPr>
            <w:webHidden/>
          </w:rPr>
          <w:instrText xml:space="preserve"> PAGEREF _Toc400529661 \h </w:instrText>
        </w:r>
        <w:r w:rsidRPr="00EC20F8">
          <w:rPr>
            <w:webHidden/>
          </w:rPr>
        </w:r>
        <w:r w:rsidRPr="00EC20F8">
          <w:rPr>
            <w:webHidden/>
          </w:rPr>
          <w:fldChar w:fldCharType="separate"/>
        </w:r>
        <w:r w:rsidR="00F10C84">
          <w:rPr>
            <w:webHidden/>
          </w:rPr>
          <w:t>14</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62" w:history="1">
        <w:r w:rsidR="00F77E60" w:rsidRPr="00EC20F8">
          <w:rPr>
            <w:rStyle w:val="afb"/>
            <w:color w:val="auto"/>
          </w:rPr>
          <w:t>4.1. Инвестиционная активность</w:t>
        </w:r>
        <w:r w:rsidR="00F77E60" w:rsidRPr="00EC20F8">
          <w:rPr>
            <w:webHidden/>
          </w:rPr>
          <w:tab/>
        </w:r>
        <w:r w:rsidRPr="00EC20F8">
          <w:rPr>
            <w:webHidden/>
          </w:rPr>
          <w:fldChar w:fldCharType="begin"/>
        </w:r>
        <w:r w:rsidR="00F77E60" w:rsidRPr="00EC20F8">
          <w:rPr>
            <w:webHidden/>
          </w:rPr>
          <w:instrText xml:space="preserve"> PAGEREF _Toc400529662 \h </w:instrText>
        </w:r>
        <w:r w:rsidRPr="00EC20F8">
          <w:rPr>
            <w:webHidden/>
          </w:rPr>
        </w:r>
        <w:r w:rsidRPr="00EC20F8">
          <w:rPr>
            <w:webHidden/>
          </w:rPr>
          <w:fldChar w:fldCharType="separate"/>
        </w:r>
        <w:r w:rsidR="00F10C84">
          <w:rPr>
            <w:webHidden/>
          </w:rPr>
          <w:t>14</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63" w:history="1">
        <w:r w:rsidR="00F77E60" w:rsidRPr="00EC20F8">
          <w:rPr>
            <w:rStyle w:val="afb"/>
            <w:color w:val="auto"/>
          </w:rPr>
          <w:t>4.2.Инвестиционная политика</w:t>
        </w:r>
        <w:r w:rsidR="00F77E60" w:rsidRPr="00EC20F8">
          <w:rPr>
            <w:webHidden/>
          </w:rPr>
          <w:tab/>
        </w:r>
        <w:r w:rsidRPr="00EC20F8">
          <w:rPr>
            <w:webHidden/>
          </w:rPr>
          <w:fldChar w:fldCharType="begin"/>
        </w:r>
        <w:r w:rsidR="00F77E60" w:rsidRPr="00EC20F8">
          <w:rPr>
            <w:webHidden/>
          </w:rPr>
          <w:instrText xml:space="preserve"> PAGEREF _Toc400529663 \h </w:instrText>
        </w:r>
        <w:r w:rsidRPr="00EC20F8">
          <w:rPr>
            <w:webHidden/>
          </w:rPr>
        </w:r>
        <w:r w:rsidRPr="00EC20F8">
          <w:rPr>
            <w:webHidden/>
          </w:rPr>
          <w:fldChar w:fldCharType="separate"/>
        </w:r>
        <w:r w:rsidR="00F10C84">
          <w:rPr>
            <w:webHidden/>
          </w:rPr>
          <w:t>20</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64" w:history="1">
        <w:r w:rsidR="00F77E60" w:rsidRPr="00EC20F8">
          <w:rPr>
            <w:rStyle w:val="afb"/>
            <w:color w:val="auto"/>
          </w:rPr>
          <w:t>4.3. Земельная и строительная политика</w:t>
        </w:r>
        <w:r w:rsidR="00F77E60" w:rsidRPr="00EC20F8">
          <w:rPr>
            <w:webHidden/>
          </w:rPr>
          <w:tab/>
        </w:r>
        <w:r w:rsidRPr="00EC20F8">
          <w:rPr>
            <w:webHidden/>
          </w:rPr>
          <w:fldChar w:fldCharType="begin"/>
        </w:r>
        <w:r w:rsidR="00F77E60" w:rsidRPr="00EC20F8">
          <w:rPr>
            <w:webHidden/>
          </w:rPr>
          <w:instrText xml:space="preserve"> PAGEREF _Toc400529664 \h </w:instrText>
        </w:r>
        <w:r w:rsidRPr="00EC20F8">
          <w:rPr>
            <w:webHidden/>
          </w:rPr>
        </w:r>
        <w:r w:rsidRPr="00EC20F8">
          <w:rPr>
            <w:webHidden/>
          </w:rPr>
          <w:fldChar w:fldCharType="separate"/>
        </w:r>
        <w:r w:rsidR="00F10C84">
          <w:rPr>
            <w:webHidden/>
          </w:rPr>
          <w:t>23</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65" w:history="1">
        <w:r w:rsidR="00F77E60" w:rsidRPr="00EC20F8">
          <w:rPr>
            <w:rStyle w:val="afb"/>
            <w:color w:val="auto"/>
          </w:rPr>
          <w:t>4.4. Строительство</w:t>
        </w:r>
        <w:r w:rsidR="00F77E60" w:rsidRPr="00EC20F8">
          <w:rPr>
            <w:webHidden/>
          </w:rPr>
          <w:tab/>
        </w:r>
        <w:r w:rsidRPr="00EC20F8">
          <w:rPr>
            <w:webHidden/>
          </w:rPr>
          <w:fldChar w:fldCharType="begin"/>
        </w:r>
        <w:r w:rsidR="00F77E60" w:rsidRPr="00EC20F8">
          <w:rPr>
            <w:webHidden/>
          </w:rPr>
          <w:instrText xml:space="preserve"> PAGEREF _Toc400529665 \h </w:instrText>
        </w:r>
        <w:r w:rsidRPr="00EC20F8">
          <w:rPr>
            <w:webHidden/>
          </w:rPr>
        </w:r>
        <w:r w:rsidRPr="00EC20F8">
          <w:rPr>
            <w:webHidden/>
          </w:rPr>
          <w:fldChar w:fldCharType="separate"/>
        </w:r>
        <w:r w:rsidR="00F10C84">
          <w:rPr>
            <w:webHidden/>
          </w:rPr>
          <w:t>26</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66" w:history="1">
        <w:r w:rsidR="00F77E60" w:rsidRPr="00EC20F8">
          <w:rPr>
            <w:rStyle w:val="afb"/>
            <w:color w:val="auto"/>
          </w:rPr>
          <w:t>5. Потребительский рынок</w:t>
        </w:r>
        <w:r w:rsidR="00F77E60" w:rsidRPr="00EC20F8">
          <w:rPr>
            <w:webHidden/>
          </w:rPr>
          <w:tab/>
        </w:r>
        <w:r w:rsidRPr="00EC20F8">
          <w:rPr>
            <w:webHidden/>
          </w:rPr>
          <w:fldChar w:fldCharType="begin"/>
        </w:r>
        <w:r w:rsidR="00F77E60" w:rsidRPr="00EC20F8">
          <w:rPr>
            <w:webHidden/>
          </w:rPr>
          <w:instrText xml:space="preserve"> PAGEREF _Toc400529666 \h </w:instrText>
        </w:r>
        <w:r w:rsidRPr="00EC20F8">
          <w:rPr>
            <w:webHidden/>
          </w:rPr>
        </w:r>
        <w:r w:rsidRPr="00EC20F8">
          <w:rPr>
            <w:webHidden/>
          </w:rPr>
          <w:fldChar w:fldCharType="separate"/>
        </w:r>
        <w:r w:rsidR="00F10C84">
          <w:rPr>
            <w:webHidden/>
          </w:rPr>
          <w:t>28</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67" w:history="1">
        <w:r w:rsidR="00F77E60" w:rsidRPr="00EC20F8">
          <w:rPr>
            <w:rStyle w:val="afb"/>
            <w:color w:val="auto"/>
          </w:rPr>
          <w:t>6. Демографическая ситуация</w:t>
        </w:r>
        <w:r w:rsidR="00F77E60" w:rsidRPr="00EC20F8">
          <w:rPr>
            <w:webHidden/>
          </w:rPr>
          <w:tab/>
        </w:r>
        <w:r w:rsidRPr="00EC20F8">
          <w:rPr>
            <w:webHidden/>
          </w:rPr>
          <w:fldChar w:fldCharType="begin"/>
        </w:r>
        <w:r w:rsidR="00F77E60" w:rsidRPr="00EC20F8">
          <w:rPr>
            <w:webHidden/>
          </w:rPr>
          <w:instrText xml:space="preserve"> PAGEREF _Toc400529667 \h </w:instrText>
        </w:r>
        <w:r w:rsidRPr="00EC20F8">
          <w:rPr>
            <w:webHidden/>
          </w:rPr>
        </w:r>
        <w:r w:rsidRPr="00EC20F8">
          <w:rPr>
            <w:webHidden/>
          </w:rPr>
          <w:fldChar w:fldCharType="separate"/>
        </w:r>
        <w:r w:rsidR="00F10C84">
          <w:rPr>
            <w:webHidden/>
          </w:rPr>
          <w:t>35</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68" w:history="1">
        <w:r w:rsidR="00F77E60" w:rsidRPr="00EC20F8">
          <w:rPr>
            <w:rStyle w:val="afb"/>
            <w:color w:val="auto"/>
          </w:rPr>
          <w:t>7. Рынок труда и занятость населения</w:t>
        </w:r>
        <w:r w:rsidR="00F77E60" w:rsidRPr="00EC20F8">
          <w:rPr>
            <w:webHidden/>
          </w:rPr>
          <w:tab/>
        </w:r>
        <w:r w:rsidRPr="00EC20F8">
          <w:rPr>
            <w:webHidden/>
          </w:rPr>
          <w:fldChar w:fldCharType="begin"/>
        </w:r>
        <w:r w:rsidR="00F77E60" w:rsidRPr="00EC20F8">
          <w:rPr>
            <w:webHidden/>
          </w:rPr>
          <w:instrText xml:space="preserve"> PAGEREF _Toc400529668 \h </w:instrText>
        </w:r>
        <w:r w:rsidRPr="00EC20F8">
          <w:rPr>
            <w:webHidden/>
          </w:rPr>
        </w:r>
        <w:r w:rsidRPr="00EC20F8">
          <w:rPr>
            <w:webHidden/>
          </w:rPr>
          <w:fldChar w:fldCharType="separate"/>
        </w:r>
        <w:r w:rsidR="00F10C84">
          <w:rPr>
            <w:webHidden/>
          </w:rPr>
          <w:t>40</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69" w:history="1">
        <w:r w:rsidR="00F77E60" w:rsidRPr="00EC20F8">
          <w:rPr>
            <w:rStyle w:val="afb"/>
            <w:color w:val="auto"/>
          </w:rPr>
          <w:t>8. Доходы населения</w:t>
        </w:r>
        <w:r w:rsidR="00F77E60" w:rsidRPr="00EC20F8">
          <w:rPr>
            <w:webHidden/>
          </w:rPr>
          <w:tab/>
        </w:r>
        <w:r w:rsidRPr="00EC20F8">
          <w:rPr>
            <w:webHidden/>
          </w:rPr>
          <w:fldChar w:fldCharType="begin"/>
        </w:r>
        <w:r w:rsidR="00F77E60" w:rsidRPr="00EC20F8">
          <w:rPr>
            <w:webHidden/>
          </w:rPr>
          <w:instrText xml:space="preserve"> PAGEREF _Toc400529669 \h </w:instrText>
        </w:r>
        <w:r w:rsidRPr="00EC20F8">
          <w:rPr>
            <w:webHidden/>
          </w:rPr>
        </w:r>
        <w:r w:rsidRPr="00EC20F8">
          <w:rPr>
            <w:webHidden/>
          </w:rPr>
          <w:fldChar w:fldCharType="separate"/>
        </w:r>
        <w:r w:rsidR="00F10C84">
          <w:rPr>
            <w:webHidden/>
          </w:rPr>
          <w:t>44</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70" w:history="1">
        <w:r w:rsidR="00F77E60" w:rsidRPr="00EC20F8">
          <w:rPr>
            <w:rStyle w:val="afb"/>
            <w:color w:val="auto"/>
          </w:rPr>
          <w:t>9. Инфляция, индекс потребительских цен</w:t>
        </w:r>
        <w:r w:rsidR="00F77E60" w:rsidRPr="00EC20F8">
          <w:rPr>
            <w:webHidden/>
          </w:rPr>
          <w:tab/>
        </w:r>
        <w:r w:rsidRPr="00EC20F8">
          <w:rPr>
            <w:webHidden/>
          </w:rPr>
          <w:fldChar w:fldCharType="begin"/>
        </w:r>
        <w:r w:rsidR="00F77E60" w:rsidRPr="00EC20F8">
          <w:rPr>
            <w:webHidden/>
          </w:rPr>
          <w:instrText xml:space="preserve"> PAGEREF _Toc400529670 \h </w:instrText>
        </w:r>
        <w:r w:rsidRPr="00EC20F8">
          <w:rPr>
            <w:webHidden/>
          </w:rPr>
        </w:r>
        <w:r w:rsidRPr="00EC20F8">
          <w:rPr>
            <w:webHidden/>
          </w:rPr>
          <w:fldChar w:fldCharType="separate"/>
        </w:r>
        <w:r w:rsidR="00F10C84">
          <w:rPr>
            <w:webHidden/>
          </w:rPr>
          <w:t>50</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71" w:history="1">
        <w:r w:rsidR="00F77E60" w:rsidRPr="00EC20F8">
          <w:rPr>
            <w:rStyle w:val="afb"/>
            <w:color w:val="auto"/>
          </w:rPr>
          <w:t>10. Поддержка и развитие малого и среднего предпринимательства</w:t>
        </w:r>
        <w:r w:rsidR="00F77E60" w:rsidRPr="00EC20F8">
          <w:rPr>
            <w:webHidden/>
          </w:rPr>
          <w:tab/>
        </w:r>
        <w:r w:rsidRPr="00EC20F8">
          <w:rPr>
            <w:webHidden/>
          </w:rPr>
          <w:fldChar w:fldCharType="begin"/>
        </w:r>
        <w:r w:rsidR="00F77E60" w:rsidRPr="00EC20F8">
          <w:rPr>
            <w:webHidden/>
          </w:rPr>
          <w:instrText xml:space="preserve"> PAGEREF _Toc400529671 \h </w:instrText>
        </w:r>
        <w:r w:rsidRPr="00EC20F8">
          <w:rPr>
            <w:webHidden/>
          </w:rPr>
        </w:r>
        <w:r w:rsidRPr="00EC20F8">
          <w:rPr>
            <w:webHidden/>
          </w:rPr>
          <w:fldChar w:fldCharType="separate"/>
        </w:r>
        <w:r w:rsidR="00F10C84">
          <w:rPr>
            <w:webHidden/>
          </w:rPr>
          <w:t>51</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72" w:history="1">
        <w:r w:rsidR="00F77E60" w:rsidRPr="00EC20F8">
          <w:rPr>
            <w:rStyle w:val="afb"/>
            <w:color w:val="auto"/>
          </w:rPr>
          <w:t>11. Социальная поддержка населения</w:t>
        </w:r>
        <w:r w:rsidR="00F77E60" w:rsidRPr="00EC20F8">
          <w:rPr>
            <w:webHidden/>
          </w:rPr>
          <w:tab/>
        </w:r>
        <w:r w:rsidRPr="00EC20F8">
          <w:rPr>
            <w:webHidden/>
          </w:rPr>
          <w:fldChar w:fldCharType="begin"/>
        </w:r>
        <w:r w:rsidR="00F77E60" w:rsidRPr="00EC20F8">
          <w:rPr>
            <w:webHidden/>
          </w:rPr>
          <w:instrText xml:space="preserve"> PAGEREF _Toc400529672 \h </w:instrText>
        </w:r>
        <w:r w:rsidRPr="00EC20F8">
          <w:rPr>
            <w:webHidden/>
          </w:rPr>
        </w:r>
        <w:r w:rsidRPr="00EC20F8">
          <w:rPr>
            <w:webHidden/>
          </w:rPr>
          <w:fldChar w:fldCharType="separate"/>
        </w:r>
        <w:r w:rsidR="00F10C84">
          <w:rPr>
            <w:webHidden/>
          </w:rPr>
          <w:t>54</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73" w:history="1">
        <w:r w:rsidR="00F77E60" w:rsidRPr="00EC20F8">
          <w:rPr>
            <w:rStyle w:val="afb"/>
            <w:color w:val="auto"/>
          </w:rPr>
          <w:t>12. Образование</w:t>
        </w:r>
        <w:r w:rsidR="00F77E60" w:rsidRPr="00EC20F8">
          <w:rPr>
            <w:webHidden/>
          </w:rPr>
          <w:tab/>
        </w:r>
        <w:r w:rsidRPr="00EC20F8">
          <w:rPr>
            <w:webHidden/>
          </w:rPr>
          <w:fldChar w:fldCharType="begin"/>
        </w:r>
        <w:r w:rsidR="00F77E60" w:rsidRPr="00EC20F8">
          <w:rPr>
            <w:webHidden/>
          </w:rPr>
          <w:instrText xml:space="preserve"> PAGEREF _Toc400529673 \h </w:instrText>
        </w:r>
        <w:r w:rsidRPr="00EC20F8">
          <w:rPr>
            <w:webHidden/>
          </w:rPr>
        </w:r>
        <w:r w:rsidRPr="00EC20F8">
          <w:rPr>
            <w:webHidden/>
          </w:rPr>
          <w:fldChar w:fldCharType="separate"/>
        </w:r>
        <w:r w:rsidR="00F10C84">
          <w:rPr>
            <w:webHidden/>
          </w:rPr>
          <w:t>61</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74" w:history="1">
        <w:r w:rsidR="00F77E60" w:rsidRPr="00EC20F8">
          <w:rPr>
            <w:rStyle w:val="afb"/>
            <w:color w:val="auto"/>
          </w:rPr>
          <w:t>12.1. Дошкольное образование</w:t>
        </w:r>
        <w:r w:rsidR="00F77E60" w:rsidRPr="00EC20F8">
          <w:rPr>
            <w:webHidden/>
          </w:rPr>
          <w:tab/>
        </w:r>
        <w:r w:rsidRPr="00EC20F8">
          <w:rPr>
            <w:webHidden/>
          </w:rPr>
          <w:fldChar w:fldCharType="begin"/>
        </w:r>
        <w:r w:rsidR="00F77E60" w:rsidRPr="00EC20F8">
          <w:rPr>
            <w:webHidden/>
          </w:rPr>
          <w:instrText xml:space="preserve"> PAGEREF _Toc400529674 \h </w:instrText>
        </w:r>
        <w:r w:rsidRPr="00EC20F8">
          <w:rPr>
            <w:webHidden/>
          </w:rPr>
        </w:r>
        <w:r w:rsidRPr="00EC20F8">
          <w:rPr>
            <w:webHidden/>
          </w:rPr>
          <w:fldChar w:fldCharType="separate"/>
        </w:r>
        <w:r w:rsidR="00F10C84">
          <w:rPr>
            <w:webHidden/>
          </w:rPr>
          <w:t>61</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75" w:history="1">
        <w:r w:rsidR="00F77E60" w:rsidRPr="00EC20F8">
          <w:rPr>
            <w:rStyle w:val="afb"/>
            <w:color w:val="auto"/>
          </w:rPr>
          <w:t>12.2. Общее и дополнительное образование</w:t>
        </w:r>
        <w:r w:rsidR="00F77E60" w:rsidRPr="00EC20F8">
          <w:rPr>
            <w:webHidden/>
          </w:rPr>
          <w:tab/>
        </w:r>
        <w:r w:rsidRPr="00EC20F8">
          <w:rPr>
            <w:webHidden/>
          </w:rPr>
          <w:fldChar w:fldCharType="begin"/>
        </w:r>
        <w:r w:rsidR="00F77E60" w:rsidRPr="00EC20F8">
          <w:rPr>
            <w:webHidden/>
          </w:rPr>
          <w:instrText xml:space="preserve"> PAGEREF _Toc400529675 \h </w:instrText>
        </w:r>
        <w:r w:rsidRPr="00EC20F8">
          <w:rPr>
            <w:webHidden/>
          </w:rPr>
        </w:r>
        <w:r w:rsidRPr="00EC20F8">
          <w:rPr>
            <w:webHidden/>
          </w:rPr>
          <w:fldChar w:fldCharType="separate"/>
        </w:r>
        <w:r w:rsidR="00F10C84">
          <w:rPr>
            <w:webHidden/>
          </w:rPr>
          <w:t>64</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76" w:history="1">
        <w:r w:rsidR="00F77E60" w:rsidRPr="00EC20F8">
          <w:rPr>
            <w:rStyle w:val="afb"/>
            <w:color w:val="auto"/>
          </w:rPr>
          <w:t>13. Обеспечение населения услугами культуры</w:t>
        </w:r>
        <w:r w:rsidR="00F77E60" w:rsidRPr="00EC20F8">
          <w:rPr>
            <w:webHidden/>
          </w:rPr>
          <w:tab/>
        </w:r>
        <w:r w:rsidRPr="00EC20F8">
          <w:rPr>
            <w:webHidden/>
          </w:rPr>
          <w:fldChar w:fldCharType="begin"/>
        </w:r>
        <w:r w:rsidR="00F77E60" w:rsidRPr="00EC20F8">
          <w:rPr>
            <w:webHidden/>
          </w:rPr>
          <w:instrText xml:space="preserve"> PAGEREF _Toc400529676 \h </w:instrText>
        </w:r>
        <w:r w:rsidRPr="00EC20F8">
          <w:rPr>
            <w:webHidden/>
          </w:rPr>
        </w:r>
        <w:r w:rsidRPr="00EC20F8">
          <w:rPr>
            <w:webHidden/>
          </w:rPr>
          <w:fldChar w:fldCharType="separate"/>
        </w:r>
        <w:r w:rsidR="00F10C84">
          <w:rPr>
            <w:webHidden/>
          </w:rPr>
          <w:t>67</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77" w:history="1">
        <w:r w:rsidR="00F77E60" w:rsidRPr="00EC20F8">
          <w:rPr>
            <w:rStyle w:val="afb"/>
            <w:color w:val="auto"/>
          </w:rPr>
          <w:t>14. Физическая культура и спорт</w:t>
        </w:r>
        <w:r w:rsidR="00F77E60" w:rsidRPr="00EC20F8">
          <w:rPr>
            <w:webHidden/>
          </w:rPr>
          <w:tab/>
        </w:r>
        <w:r w:rsidRPr="00EC20F8">
          <w:rPr>
            <w:webHidden/>
          </w:rPr>
          <w:fldChar w:fldCharType="begin"/>
        </w:r>
        <w:r w:rsidR="00F77E60" w:rsidRPr="00EC20F8">
          <w:rPr>
            <w:webHidden/>
          </w:rPr>
          <w:instrText xml:space="preserve"> PAGEREF _Toc400529677 \h </w:instrText>
        </w:r>
        <w:r w:rsidRPr="00EC20F8">
          <w:rPr>
            <w:webHidden/>
          </w:rPr>
        </w:r>
        <w:r w:rsidRPr="00EC20F8">
          <w:rPr>
            <w:webHidden/>
          </w:rPr>
          <w:fldChar w:fldCharType="separate"/>
        </w:r>
        <w:r w:rsidR="00F10C84">
          <w:rPr>
            <w:webHidden/>
          </w:rPr>
          <w:t>71</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78" w:history="1">
        <w:r w:rsidR="00F77E60" w:rsidRPr="00EC20F8">
          <w:rPr>
            <w:rStyle w:val="afb"/>
            <w:color w:val="auto"/>
          </w:rPr>
          <w:t>15. Молодежная политика</w:t>
        </w:r>
        <w:r w:rsidR="00F77E60" w:rsidRPr="00EC20F8">
          <w:rPr>
            <w:webHidden/>
          </w:rPr>
          <w:tab/>
        </w:r>
        <w:r w:rsidRPr="00EC20F8">
          <w:rPr>
            <w:webHidden/>
          </w:rPr>
          <w:fldChar w:fldCharType="begin"/>
        </w:r>
        <w:r w:rsidR="00F77E60" w:rsidRPr="00EC20F8">
          <w:rPr>
            <w:webHidden/>
          </w:rPr>
          <w:instrText xml:space="preserve"> PAGEREF _Toc400529678 \h </w:instrText>
        </w:r>
        <w:r w:rsidRPr="00EC20F8">
          <w:rPr>
            <w:webHidden/>
          </w:rPr>
        </w:r>
        <w:r w:rsidRPr="00EC20F8">
          <w:rPr>
            <w:webHidden/>
          </w:rPr>
          <w:fldChar w:fldCharType="separate"/>
        </w:r>
        <w:r w:rsidR="00F10C84">
          <w:rPr>
            <w:webHidden/>
          </w:rPr>
          <w:t>74</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79" w:history="1">
        <w:r w:rsidR="00F77E60" w:rsidRPr="00EC20F8">
          <w:rPr>
            <w:rStyle w:val="afb"/>
            <w:color w:val="auto"/>
          </w:rPr>
          <w:t>16. Здравоохранение</w:t>
        </w:r>
        <w:r w:rsidR="00F77E60" w:rsidRPr="00EC20F8">
          <w:rPr>
            <w:webHidden/>
          </w:rPr>
          <w:tab/>
        </w:r>
        <w:r w:rsidRPr="00EC20F8">
          <w:rPr>
            <w:webHidden/>
          </w:rPr>
          <w:fldChar w:fldCharType="begin"/>
        </w:r>
        <w:r w:rsidR="00F77E60" w:rsidRPr="00EC20F8">
          <w:rPr>
            <w:webHidden/>
          </w:rPr>
          <w:instrText xml:space="preserve"> PAGEREF _Toc400529679 \h </w:instrText>
        </w:r>
        <w:r w:rsidRPr="00EC20F8">
          <w:rPr>
            <w:webHidden/>
          </w:rPr>
        </w:r>
        <w:r w:rsidRPr="00EC20F8">
          <w:rPr>
            <w:webHidden/>
          </w:rPr>
          <w:fldChar w:fldCharType="separate"/>
        </w:r>
        <w:r w:rsidR="00F10C84">
          <w:rPr>
            <w:webHidden/>
          </w:rPr>
          <w:t>77</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80" w:history="1">
        <w:r w:rsidR="00F77E60" w:rsidRPr="00EC20F8">
          <w:rPr>
            <w:rStyle w:val="afb"/>
            <w:color w:val="auto"/>
          </w:rPr>
          <w:t>17. Бюджет и финансовые ресурсы</w:t>
        </w:r>
        <w:r w:rsidR="00F77E60" w:rsidRPr="00EC20F8">
          <w:rPr>
            <w:webHidden/>
          </w:rPr>
          <w:tab/>
        </w:r>
        <w:r w:rsidRPr="00EC20F8">
          <w:rPr>
            <w:webHidden/>
          </w:rPr>
          <w:fldChar w:fldCharType="begin"/>
        </w:r>
        <w:r w:rsidR="00F77E60" w:rsidRPr="00EC20F8">
          <w:rPr>
            <w:webHidden/>
          </w:rPr>
          <w:instrText xml:space="preserve"> PAGEREF _Toc400529680 \h </w:instrText>
        </w:r>
        <w:r w:rsidRPr="00EC20F8">
          <w:rPr>
            <w:webHidden/>
          </w:rPr>
        </w:r>
        <w:r w:rsidRPr="00EC20F8">
          <w:rPr>
            <w:webHidden/>
          </w:rPr>
          <w:fldChar w:fldCharType="separate"/>
        </w:r>
        <w:r w:rsidR="00F10C84">
          <w:rPr>
            <w:webHidden/>
          </w:rPr>
          <w:t>78</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81" w:history="1">
        <w:r w:rsidR="00F77E60" w:rsidRPr="00EC20F8">
          <w:rPr>
            <w:rStyle w:val="afb"/>
            <w:color w:val="auto"/>
          </w:rPr>
          <w:t>18. Управление муниципальным имуществом</w:t>
        </w:r>
        <w:r w:rsidR="00F77E60" w:rsidRPr="00EC20F8">
          <w:rPr>
            <w:webHidden/>
          </w:rPr>
          <w:tab/>
        </w:r>
        <w:r w:rsidRPr="00EC20F8">
          <w:rPr>
            <w:webHidden/>
          </w:rPr>
          <w:fldChar w:fldCharType="begin"/>
        </w:r>
        <w:r w:rsidR="00F77E60" w:rsidRPr="00EC20F8">
          <w:rPr>
            <w:webHidden/>
          </w:rPr>
          <w:instrText xml:space="preserve"> PAGEREF _Toc400529681 \h </w:instrText>
        </w:r>
        <w:r w:rsidRPr="00EC20F8">
          <w:rPr>
            <w:webHidden/>
          </w:rPr>
        </w:r>
        <w:r w:rsidRPr="00EC20F8">
          <w:rPr>
            <w:webHidden/>
          </w:rPr>
          <w:fldChar w:fldCharType="separate"/>
        </w:r>
        <w:r w:rsidR="00F10C84">
          <w:rPr>
            <w:webHidden/>
          </w:rPr>
          <w:t>88</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86" w:history="1">
        <w:r w:rsidR="00F77E60" w:rsidRPr="00EC20F8">
          <w:rPr>
            <w:rStyle w:val="afb"/>
            <w:color w:val="auto"/>
          </w:rPr>
          <w:t>19. Жилищно-коммунальное хозяйство</w:t>
        </w:r>
        <w:r w:rsidR="00F77E60" w:rsidRPr="00EC20F8">
          <w:rPr>
            <w:webHidden/>
          </w:rPr>
          <w:tab/>
        </w:r>
        <w:r w:rsidRPr="00EC20F8">
          <w:rPr>
            <w:webHidden/>
          </w:rPr>
          <w:fldChar w:fldCharType="begin"/>
        </w:r>
        <w:r w:rsidR="00F77E60" w:rsidRPr="00EC20F8">
          <w:rPr>
            <w:webHidden/>
          </w:rPr>
          <w:instrText xml:space="preserve"> PAGEREF _Toc400529686 \h </w:instrText>
        </w:r>
        <w:r w:rsidRPr="00EC20F8">
          <w:rPr>
            <w:webHidden/>
          </w:rPr>
        </w:r>
        <w:r w:rsidRPr="00EC20F8">
          <w:rPr>
            <w:webHidden/>
          </w:rPr>
          <w:fldChar w:fldCharType="separate"/>
        </w:r>
        <w:r w:rsidR="00F10C84">
          <w:rPr>
            <w:webHidden/>
          </w:rPr>
          <w:t>93</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87" w:history="1">
        <w:r w:rsidR="00F77E60" w:rsidRPr="00EC20F8">
          <w:rPr>
            <w:rStyle w:val="afb"/>
            <w:color w:val="auto"/>
          </w:rPr>
          <w:t>19.1. Энергосбережение и энергоэффективность</w:t>
        </w:r>
        <w:r w:rsidR="00F77E60" w:rsidRPr="00EC20F8">
          <w:rPr>
            <w:webHidden/>
          </w:rPr>
          <w:tab/>
        </w:r>
        <w:r w:rsidRPr="00EC20F8">
          <w:rPr>
            <w:webHidden/>
          </w:rPr>
          <w:fldChar w:fldCharType="begin"/>
        </w:r>
        <w:r w:rsidR="00F77E60" w:rsidRPr="00EC20F8">
          <w:rPr>
            <w:webHidden/>
          </w:rPr>
          <w:instrText xml:space="preserve"> PAGEREF _Toc400529687 \h </w:instrText>
        </w:r>
        <w:r w:rsidRPr="00EC20F8">
          <w:rPr>
            <w:webHidden/>
          </w:rPr>
        </w:r>
        <w:r w:rsidRPr="00EC20F8">
          <w:rPr>
            <w:webHidden/>
          </w:rPr>
          <w:fldChar w:fldCharType="separate"/>
        </w:r>
        <w:r w:rsidR="00F10C84">
          <w:rPr>
            <w:webHidden/>
          </w:rPr>
          <w:t>103</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88" w:history="1">
        <w:r w:rsidR="00F77E60" w:rsidRPr="00EC20F8">
          <w:rPr>
            <w:rStyle w:val="afb"/>
            <w:color w:val="auto"/>
          </w:rPr>
          <w:t>19.2. Благоустройство</w:t>
        </w:r>
        <w:r w:rsidR="00F77E60" w:rsidRPr="00EC20F8">
          <w:rPr>
            <w:webHidden/>
          </w:rPr>
          <w:tab/>
        </w:r>
        <w:r w:rsidRPr="00EC20F8">
          <w:rPr>
            <w:webHidden/>
          </w:rPr>
          <w:fldChar w:fldCharType="begin"/>
        </w:r>
        <w:r w:rsidR="00F77E60" w:rsidRPr="00EC20F8">
          <w:rPr>
            <w:webHidden/>
          </w:rPr>
          <w:instrText xml:space="preserve"> PAGEREF _Toc400529688 \h </w:instrText>
        </w:r>
        <w:r w:rsidRPr="00EC20F8">
          <w:rPr>
            <w:webHidden/>
          </w:rPr>
        </w:r>
        <w:r w:rsidRPr="00EC20F8">
          <w:rPr>
            <w:webHidden/>
          </w:rPr>
          <w:fldChar w:fldCharType="separate"/>
        </w:r>
        <w:r w:rsidR="00F10C84">
          <w:rPr>
            <w:webHidden/>
          </w:rPr>
          <w:t>108</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89" w:history="1">
        <w:r w:rsidR="00F77E60" w:rsidRPr="00EC20F8">
          <w:rPr>
            <w:rStyle w:val="afb"/>
            <w:color w:val="auto"/>
          </w:rPr>
          <w:t>20. Экология и охрана окружающей среды</w:t>
        </w:r>
        <w:r w:rsidR="00F77E60" w:rsidRPr="00EC20F8">
          <w:rPr>
            <w:webHidden/>
          </w:rPr>
          <w:tab/>
        </w:r>
        <w:r w:rsidRPr="00EC20F8">
          <w:rPr>
            <w:webHidden/>
          </w:rPr>
          <w:fldChar w:fldCharType="begin"/>
        </w:r>
        <w:r w:rsidR="00F77E60" w:rsidRPr="00EC20F8">
          <w:rPr>
            <w:webHidden/>
          </w:rPr>
          <w:instrText xml:space="preserve"> PAGEREF _Toc400529689 \h </w:instrText>
        </w:r>
        <w:r w:rsidRPr="00EC20F8">
          <w:rPr>
            <w:webHidden/>
          </w:rPr>
        </w:r>
        <w:r w:rsidRPr="00EC20F8">
          <w:rPr>
            <w:webHidden/>
          </w:rPr>
          <w:fldChar w:fldCharType="separate"/>
        </w:r>
        <w:r w:rsidR="00F10C84">
          <w:rPr>
            <w:webHidden/>
          </w:rPr>
          <w:t>110</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90" w:history="1">
        <w:r w:rsidR="00F77E60" w:rsidRPr="00EC20F8">
          <w:rPr>
            <w:rStyle w:val="afb"/>
            <w:color w:val="auto"/>
          </w:rPr>
          <w:t>21. Сельское хозяйство</w:t>
        </w:r>
        <w:r w:rsidR="00F77E60" w:rsidRPr="00EC20F8">
          <w:rPr>
            <w:webHidden/>
          </w:rPr>
          <w:tab/>
        </w:r>
        <w:r w:rsidRPr="00EC20F8">
          <w:rPr>
            <w:webHidden/>
          </w:rPr>
          <w:fldChar w:fldCharType="begin"/>
        </w:r>
        <w:r w:rsidR="00F77E60" w:rsidRPr="00EC20F8">
          <w:rPr>
            <w:webHidden/>
          </w:rPr>
          <w:instrText xml:space="preserve"> PAGEREF _Toc400529690 \h </w:instrText>
        </w:r>
        <w:r w:rsidRPr="00EC20F8">
          <w:rPr>
            <w:webHidden/>
          </w:rPr>
        </w:r>
        <w:r w:rsidRPr="00EC20F8">
          <w:rPr>
            <w:webHidden/>
          </w:rPr>
          <w:fldChar w:fldCharType="separate"/>
        </w:r>
        <w:r w:rsidR="00F10C84">
          <w:rPr>
            <w:webHidden/>
          </w:rPr>
          <w:t>113</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91" w:history="1">
        <w:r w:rsidR="00F77E60" w:rsidRPr="00EC20F8">
          <w:rPr>
            <w:rStyle w:val="afb"/>
            <w:color w:val="auto"/>
          </w:rPr>
          <w:t>22. Транспорт</w:t>
        </w:r>
        <w:r w:rsidR="00F77E60" w:rsidRPr="00EC20F8">
          <w:rPr>
            <w:webHidden/>
          </w:rPr>
          <w:tab/>
        </w:r>
        <w:r w:rsidRPr="00EC20F8">
          <w:rPr>
            <w:webHidden/>
          </w:rPr>
          <w:fldChar w:fldCharType="begin"/>
        </w:r>
        <w:r w:rsidR="00F77E60" w:rsidRPr="00EC20F8">
          <w:rPr>
            <w:webHidden/>
          </w:rPr>
          <w:instrText xml:space="preserve"> PAGEREF _Toc400529691 \h </w:instrText>
        </w:r>
        <w:r w:rsidRPr="00EC20F8">
          <w:rPr>
            <w:webHidden/>
          </w:rPr>
        </w:r>
        <w:r w:rsidRPr="00EC20F8">
          <w:rPr>
            <w:webHidden/>
          </w:rPr>
          <w:fldChar w:fldCharType="separate"/>
        </w:r>
        <w:r w:rsidR="00F10C84">
          <w:rPr>
            <w:webHidden/>
          </w:rPr>
          <w:t>115</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92" w:history="1">
        <w:r w:rsidR="00F77E60" w:rsidRPr="00EC20F8">
          <w:rPr>
            <w:rStyle w:val="afb"/>
            <w:color w:val="auto"/>
          </w:rPr>
          <w:t>22.1. Дорожная сеть</w:t>
        </w:r>
        <w:r w:rsidR="00F77E60" w:rsidRPr="00EC20F8">
          <w:rPr>
            <w:webHidden/>
          </w:rPr>
          <w:tab/>
        </w:r>
        <w:r w:rsidRPr="00EC20F8">
          <w:rPr>
            <w:webHidden/>
          </w:rPr>
          <w:fldChar w:fldCharType="begin"/>
        </w:r>
        <w:r w:rsidR="00F77E60" w:rsidRPr="00EC20F8">
          <w:rPr>
            <w:webHidden/>
          </w:rPr>
          <w:instrText xml:space="preserve"> PAGEREF _Toc400529692 \h </w:instrText>
        </w:r>
        <w:r w:rsidRPr="00EC20F8">
          <w:rPr>
            <w:webHidden/>
          </w:rPr>
        </w:r>
        <w:r w:rsidRPr="00EC20F8">
          <w:rPr>
            <w:webHidden/>
          </w:rPr>
          <w:fldChar w:fldCharType="separate"/>
        </w:r>
        <w:r w:rsidR="00F10C84">
          <w:rPr>
            <w:webHidden/>
          </w:rPr>
          <w:t>115</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93" w:history="1">
        <w:r w:rsidR="00F77E60" w:rsidRPr="00EC20F8">
          <w:rPr>
            <w:rStyle w:val="afb"/>
            <w:color w:val="auto"/>
          </w:rPr>
          <w:t>22.2. Система общественного транспорта</w:t>
        </w:r>
        <w:r w:rsidR="00F77E60" w:rsidRPr="00EC20F8">
          <w:rPr>
            <w:webHidden/>
          </w:rPr>
          <w:tab/>
        </w:r>
        <w:r w:rsidRPr="00EC20F8">
          <w:rPr>
            <w:webHidden/>
          </w:rPr>
          <w:fldChar w:fldCharType="begin"/>
        </w:r>
        <w:r w:rsidR="00F77E60" w:rsidRPr="00EC20F8">
          <w:rPr>
            <w:webHidden/>
          </w:rPr>
          <w:instrText xml:space="preserve"> PAGEREF _Toc400529693 \h </w:instrText>
        </w:r>
        <w:r w:rsidRPr="00EC20F8">
          <w:rPr>
            <w:webHidden/>
          </w:rPr>
        </w:r>
        <w:r w:rsidRPr="00EC20F8">
          <w:rPr>
            <w:webHidden/>
          </w:rPr>
          <w:fldChar w:fldCharType="separate"/>
        </w:r>
        <w:r w:rsidR="00F10C84">
          <w:rPr>
            <w:webHidden/>
          </w:rPr>
          <w:t>119</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94" w:history="1">
        <w:r w:rsidR="00F77E60" w:rsidRPr="00EC20F8">
          <w:rPr>
            <w:rStyle w:val="afb"/>
            <w:color w:val="auto"/>
          </w:rPr>
          <w:t>22.3. Безопасность дорожного движения</w:t>
        </w:r>
        <w:r w:rsidR="00F77E60" w:rsidRPr="00EC20F8">
          <w:rPr>
            <w:webHidden/>
          </w:rPr>
          <w:tab/>
        </w:r>
        <w:r w:rsidRPr="00EC20F8">
          <w:rPr>
            <w:webHidden/>
          </w:rPr>
          <w:fldChar w:fldCharType="begin"/>
        </w:r>
        <w:r w:rsidR="00F77E60" w:rsidRPr="00EC20F8">
          <w:rPr>
            <w:webHidden/>
          </w:rPr>
          <w:instrText xml:space="preserve"> PAGEREF _Toc400529694 \h </w:instrText>
        </w:r>
        <w:r w:rsidRPr="00EC20F8">
          <w:rPr>
            <w:webHidden/>
          </w:rPr>
        </w:r>
        <w:r w:rsidRPr="00EC20F8">
          <w:rPr>
            <w:webHidden/>
          </w:rPr>
          <w:fldChar w:fldCharType="separate"/>
        </w:r>
        <w:r w:rsidR="00F10C84">
          <w:rPr>
            <w:webHidden/>
          </w:rPr>
          <w:t>121</w:t>
        </w:r>
        <w:r w:rsidRPr="00EC20F8">
          <w:rPr>
            <w:webHidden/>
          </w:rPr>
          <w:fldChar w:fldCharType="end"/>
        </w:r>
      </w:hyperlink>
    </w:p>
    <w:p w:rsidR="00F77E60" w:rsidRPr="00EC20F8" w:rsidRDefault="000334BA">
      <w:pPr>
        <w:pStyle w:val="17"/>
        <w:rPr>
          <w:rFonts w:asciiTheme="minorHAnsi" w:eastAsiaTheme="minorEastAsia" w:hAnsiTheme="minorHAnsi" w:cstheme="minorBidi"/>
          <w:bCs w:val="0"/>
          <w:sz w:val="22"/>
          <w:szCs w:val="22"/>
          <w:lang w:eastAsia="ru-RU"/>
        </w:rPr>
      </w:pPr>
      <w:hyperlink w:anchor="_Toc400529695" w:history="1">
        <w:r w:rsidR="00F77E60" w:rsidRPr="00EC20F8">
          <w:rPr>
            <w:rStyle w:val="afb"/>
            <w:color w:val="auto"/>
          </w:rPr>
          <w:t>23. Связь</w:t>
        </w:r>
        <w:r w:rsidR="00F77E60" w:rsidRPr="00EC20F8">
          <w:rPr>
            <w:webHidden/>
          </w:rPr>
          <w:tab/>
        </w:r>
        <w:r w:rsidRPr="00EC20F8">
          <w:rPr>
            <w:webHidden/>
          </w:rPr>
          <w:fldChar w:fldCharType="begin"/>
        </w:r>
        <w:r w:rsidR="00F77E60" w:rsidRPr="00EC20F8">
          <w:rPr>
            <w:webHidden/>
          </w:rPr>
          <w:instrText xml:space="preserve"> PAGEREF _Toc400529695 \h </w:instrText>
        </w:r>
        <w:r w:rsidRPr="00EC20F8">
          <w:rPr>
            <w:webHidden/>
          </w:rPr>
        </w:r>
        <w:r w:rsidRPr="00EC20F8">
          <w:rPr>
            <w:webHidden/>
          </w:rPr>
          <w:fldChar w:fldCharType="separate"/>
        </w:r>
        <w:r w:rsidR="00F10C84">
          <w:rPr>
            <w:webHidden/>
          </w:rPr>
          <w:t>123</w:t>
        </w:r>
        <w:r w:rsidRPr="00EC20F8">
          <w:rPr>
            <w:webHidden/>
          </w:rPr>
          <w:fldChar w:fldCharType="end"/>
        </w:r>
      </w:hyperlink>
    </w:p>
    <w:p w:rsidR="00282B2C" w:rsidRPr="00EC20F8" w:rsidRDefault="000334BA" w:rsidP="0014344F">
      <w:pPr>
        <w:jc w:val="center"/>
        <w:rPr>
          <w:rFonts w:ascii="Times New Roman" w:hAnsi="Times New Roman" w:cs="Times New Roman"/>
          <w:b/>
          <w:sz w:val="28"/>
          <w:szCs w:val="28"/>
        </w:rPr>
      </w:pPr>
      <w:r w:rsidRPr="00EC20F8">
        <w:rPr>
          <w:rFonts w:ascii="Times New Roman" w:hAnsi="Times New Roman" w:cs="Times New Roman"/>
          <w:b/>
          <w:sz w:val="28"/>
          <w:szCs w:val="28"/>
        </w:rPr>
        <w:fldChar w:fldCharType="end"/>
      </w: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282B2C" w:rsidRPr="00EC20F8" w:rsidRDefault="00282B2C" w:rsidP="0014344F">
      <w:pPr>
        <w:jc w:val="center"/>
        <w:rPr>
          <w:rFonts w:ascii="Times New Roman" w:hAnsi="Times New Roman" w:cs="Times New Roman"/>
          <w:b/>
          <w:sz w:val="28"/>
          <w:szCs w:val="28"/>
        </w:rPr>
      </w:pPr>
    </w:p>
    <w:p w:rsidR="0014344F" w:rsidRPr="00EC20F8" w:rsidRDefault="0014344F" w:rsidP="0014344F">
      <w:pPr>
        <w:jc w:val="center"/>
        <w:rPr>
          <w:rFonts w:ascii="Times New Roman" w:hAnsi="Times New Roman" w:cs="Times New Roman"/>
          <w:b/>
          <w:sz w:val="28"/>
          <w:szCs w:val="28"/>
        </w:rPr>
      </w:pPr>
      <w:r w:rsidRPr="00EC20F8">
        <w:rPr>
          <w:rFonts w:ascii="Times New Roman" w:hAnsi="Times New Roman" w:cs="Times New Roman"/>
          <w:b/>
          <w:sz w:val="28"/>
          <w:szCs w:val="28"/>
        </w:rPr>
        <w:t>Пояснительная записка</w:t>
      </w:r>
      <w:bookmarkEnd w:id="0"/>
    </w:p>
    <w:p w:rsidR="0014344F" w:rsidRPr="00EC20F8" w:rsidRDefault="00511BAE" w:rsidP="0014344F">
      <w:pPr>
        <w:pStyle w:val="1"/>
      </w:pPr>
      <w:bookmarkStart w:id="4" w:name="_Toc368988871"/>
      <w:bookmarkStart w:id="5" w:name="_Toc400467619"/>
      <w:bookmarkStart w:id="6" w:name="_Toc400467724"/>
      <w:bookmarkStart w:id="7" w:name="_Toc400529654"/>
      <w:r w:rsidRPr="00EC20F8">
        <w:t xml:space="preserve">по основным показателям </w:t>
      </w:r>
      <w:r w:rsidR="0014344F" w:rsidRPr="00EC20F8">
        <w:t xml:space="preserve">прогноза социально-экономического развития </w:t>
      </w:r>
      <w:proofErr w:type="gramStart"/>
      <w:r w:rsidR="0014344F" w:rsidRPr="00EC20F8">
        <w:t>Петропавловск-Камчатского</w:t>
      </w:r>
      <w:proofErr w:type="gramEnd"/>
      <w:r w:rsidR="0014344F" w:rsidRPr="00EC20F8">
        <w:t xml:space="preserve"> городского округа на 2015 год и</w:t>
      </w:r>
      <w:bookmarkEnd w:id="4"/>
      <w:bookmarkEnd w:id="5"/>
      <w:bookmarkEnd w:id="6"/>
      <w:bookmarkEnd w:id="7"/>
      <w:r w:rsidR="0014344F" w:rsidRPr="00EC20F8">
        <w:t xml:space="preserve"> </w:t>
      </w:r>
    </w:p>
    <w:p w:rsidR="0014344F" w:rsidRPr="00EC20F8" w:rsidRDefault="0014344F" w:rsidP="0014344F">
      <w:pPr>
        <w:pStyle w:val="1"/>
      </w:pPr>
      <w:bookmarkStart w:id="8" w:name="_Toc368988872"/>
      <w:bookmarkStart w:id="9" w:name="_Toc400467620"/>
      <w:bookmarkStart w:id="10" w:name="_Toc400467725"/>
      <w:bookmarkStart w:id="11" w:name="_Toc400529655"/>
      <w:r w:rsidRPr="00EC20F8">
        <w:t>плановый период до 2017 года</w:t>
      </w:r>
      <w:bookmarkEnd w:id="8"/>
      <w:bookmarkEnd w:id="9"/>
      <w:bookmarkEnd w:id="10"/>
      <w:bookmarkEnd w:id="11"/>
    </w:p>
    <w:p w:rsidR="0014344F" w:rsidRPr="00EC20F8" w:rsidRDefault="0014344F" w:rsidP="0014344F">
      <w:pPr>
        <w:pStyle w:val="1"/>
      </w:pPr>
    </w:p>
    <w:p w:rsidR="0014344F" w:rsidRPr="00EC20F8" w:rsidRDefault="0014344F" w:rsidP="0014344F">
      <w:pPr>
        <w:pStyle w:val="1"/>
      </w:pPr>
      <w:bookmarkStart w:id="12" w:name="_Toc368988873"/>
      <w:bookmarkStart w:id="13" w:name="_Toc400529656"/>
      <w:r w:rsidRPr="00EC20F8">
        <w:t>1. Общие положения</w:t>
      </w:r>
      <w:bookmarkEnd w:id="12"/>
      <w:bookmarkEnd w:id="13"/>
    </w:p>
    <w:p w:rsidR="0014344F" w:rsidRPr="00EC20F8" w:rsidRDefault="0014344F" w:rsidP="0014344F">
      <w:pPr>
        <w:widowControl w:val="0"/>
        <w:ind w:firstLine="709"/>
        <w:jc w:val="both"/>
        <w:rPr>
          <w:rFonts w:ascii="Times New Roman" w:hAnsi="Times New Roman" w:cs="Times New Roman"/>
          <w:sz w:val="28"/>
          <w:szCs w:val="28"/>
        </w:rPr>
      </w:pPr>
    </w:p>
    <w:p w:rsidR="0014344F" w:rsidRPr="00EC20F8" w:rsidRDefault="0014344F" w:rsidP="0014344F">
      <w:pPr>
        <w:widowControl w:val="0"/>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Прогноз социально-экономического развития Петропавловск-Камчатского городского округа на 2015 год и плановый период до 2017 года (далее – прогноз) разработан в соответствии с Бюджетным кодексом Российской Федерации, Решением Городской Думы Петропавловск-Камчатского городского округа от </w:t>
      </w:r>
      <w:r w:rsidR="00302443" w:rsidRPr="00EC20F8">
        <w:rPr>
          <w:rFonts w:ascii="Times New Roman" w:hAnsi="Times New Roman" w:cs="Times New Roman"/>
          <w:sz w:val="28"/>
          <w:szCs w:val="28"/>
        </w:rPr>
        <w:t>27.12.2013</w:t>
      </w:r>
      <w:r w:rsidRPr="00EC20F8">
        <w:rPr>
          <w:rFonts w:ascii="Times New Roman" w:hAnsi="Times New Roman" w:cs="Times New Roman"/>
          <w:sz w:val="28"/>
          <w:szCs w:val="28"/>
        </w:rPr>
        <w:t xml:space="preserve"> № 1</w:t>
      </w:r>
      <w:r w:rsidR="00302443" w:rsidRPr="00EC20F8">
        <w:rPr>
          <w:rFonts w:ascii="Times New Roman" w:hAnsi="Times New Roman" w:cs="Times New Roman"/>
          <w:sz w:val="28"/>
          <w:szCs w:val="28"/>
        </w:rPr>
        <w:t>73</w:t>
      </w:r>
      <w:r w:rsidRPr="00EC20F8">
        <w:rPr>
          <w:rFonts w:ascii="Times New Roman" w:hAnsi="Times New Roman" w:cs="Times New Roman"/>
          <w:sz w:val="28"/>
          <w:szCs w:val="28"/>
        </w:rPr>
        <w:t>-нд «О бюджетном устройстве и бюджетном процессе в Петропавловск-Камчатском городском округе», постановлением администрации Петропавловск-Камчатского городского округа от 28.03.2013 № 862 «О порядке разработки прогноза социально-экономического развития Петропавловск-Камчатского городского</w:t>
      </w:r>
      <w:proofErr w:type="gramEnd"/>
      <w:r w:rsidRPr="00EC20F8">
        <w:rPr>
          <w:rFonts w:ascii="Times New Roman" w:hAnsi="Times New Roman" w:cs="Times New Roman"/>
          <w:sz w:val="28"/>
          <w:szCs w:val="28"/>
        </w:rPr>
        <w:t xml:space="preserve"> </w:t>
      </w:r>
      <w:proofErr w:type="gramStart"/>
      <w:r w:rsidRPr="00EC20F8">
        <w:rPr>
          <w:rFonts w:ascii="Times New Roman" w:hAnsi="Times New Roman" w:cs="Times New Roman"/>
          <w:sz w:val="28"/>
          <w:szCs w:val="28"/>
        </w:rPr>
        <w:t>округа» с учетом сценарных условий для формирования вариантов развития экономики Российской Федерации на период до 2017 года, основных показателей прогноза социально-экономического развития Российской Федерации до 2017 года, основных показателей, представляемых для разработки прогноза социально-экономического развития Российской Федерации по Камчатскому краю на 2015 год и на плановый период до 2017 года, а также анализа сложившейся социально-экономической ситуации в секторах экономики Петропавловск-Камчатского</w:t>
      </w:r>
      <w:proofErr w:type="gramEnd"/>
      <w:r w:rsidRPr="00EC20F8">
        <w:rPr>
          <w:rFonts w:ascii="Times New Roman" w:hAnsi="Times New Roman" w:cs="Times New Roman"/>
          <w:sz w:val="28"/>
          <w:szCs w:val="28"/>
        </w:rPr>
        <w:t xml:space="preserve"> городского округа (далее – городской округ) в 2013 году, итогов развития экономики городского округа в январе-июне 2014 года и уточнения параметров планового периода прогноза с ранее утвержденными параметрами.</w:t>
      </w:r>
    </w:p>
    <w:p w:rsidR="0014344F" w:rsidRPr="00EC20F8" w:rsidRDefault="0014344F" w:rsidP="0014344F">
      <w:pPr>
        <w:autoSpaceDE w:val="0"/>
        <w:autoSpaceDN w:val="0"/>
        <w:adjustRightInd w:val="0"/>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Главными ориентирами при разработке прогноза являются основные направления социально-экономического развития, обозначенные в указах Президента Российской Федерации от 7 мая 2012 года и посланиях Президента Российской Федерации, а также утвержденные Государственные программы Российской Федерации и Камчатского края, в которых установлены целевые индикаторы (в том числе и для Петропавловск-Камчатского городского округа) и определены основные мероприятия для их достижения.</w:t>
      </w:r>
      <w:proofErr w:type="gramEnd"/>
    </w:p>
    <w:p w:rsidR="0014344F" w:rsidRPr="00EC20F8" w:rsidRDefault="0014344F" w:rsidP="0014344F">
      <w:pPr>
        <w:pStyle w:val="ConsPlusTitle"/>
        <w:widowControl/>
        <w:ind w:firstLine="709"/>
        <w:jc w:val="both"/>
        <w:rPr>
          <w:rFonts w:ascii="Times New Roman" w:hAnsi="Times New Roman" w:cs="Times New Roman"/>
          <w:b w:val="0"/>
          <w:sz w:val="28"/>
          <w:szCs w:val="28"/>
        </w:rPr>
      </w:pPr>
      <w:r w:rsidRPr="00EC20F8">
        <w:rPr>
          <w:rFonts w:ascii="Times New Roman" w:hAnsi="Times New Roman" w:cs="Times New Roman"/>
          <w:b w:val="0"/>
          <w:sz w:val="28"/>
          <w:szCs w:val="28"/>
        </w:rPr>
        <w:t xml:space="preserve">Прогноз выполнен в двух вариантах. Основной вариант – первый </w:t>
      </w:r>
      <w:r w:rsidRPr="00EC20F8">
        <w:rPr>
          <w:rFonts w:ascii="Times New Roman" w:eastAsia="Calibri" w:hAnsi="Times New Roman" w:cs="Times New Roman"/>
          <w:b w:val="0"/>
          <w:sz w:val="28"/>
          <w:szCs w:val="28"/>
        </w:rPr>
        <w:t>(консервативный)</w:t>
      </w:r>
      <w:r w:rsidRPr="00EC20F8">
        <w:rPr>
          <w:rFonts w:ascii="Times New Roman" w:hAnsi="Times New Roman" w:cs="Times New Roman"/>
          <w:b w:val="0"/>
          <w:sz w:val="28"/>
          <w:szCs w:val="28"/>
        </w:rPr>
        <w:t xml:space="preserve"> вариант развития, в соответствии с которым ожидается следующая динамика показателей по Российской Федерации и Камчатскому краю в 2015-2017 годах:</w:t>
      </w:r>
    </w:p>
    <w:p w:rsidR="00FF30F4" w:rsidRPr="00EC20F8" w:rsidRDefault="0014344F" w:rsidP="0014344F">
      <w:pPr>
        <w:pStyle w:val="ConsPlusTitle"/>
        <w:widowControl/>
        <w:ind w:firstLine="709"/>
        <w:jc w:val="both"/>
        <w:rPr>
          <w:rFonts w:ascii="Times New Roman" w:hAnsi="Times New Roman" w:cs="Times New Roman"/>
          <w:b w:val="0"/>
          <w:sz w:val="28"/>
          <w:szCs w:val="28"/>
        </w:rPr>
      </w:pPr>
      <w:r w:rsidRPr="00EC20F8">
        <w:rPr>
          <w:rFonts w:ascii="Times New Roman" w:hAnsi="Times New Roman" w:cs="Times New Roman"/>
          <w:b w:val="0"/>
          <w:sz w:val="28"/>
          <w:szCs w:val="28"/>
        </w:rPr>
        <w:t>индекс промышленного производства по Российской Федерации составит 101,7%,101,6%, 102,0%, соответственно по годам; по Камчатскому краю – 100,6%, 101,7%, 102,4%, соответственно по годам;</w:t>
      </w:r>
    </w:p>
    <w:p w:rsidR="00FF30F4" w:rsidRPr="00EC20F8" w:rsidRDefault="00FF30F4" w:rsidP="00FF30F4">
      <w:pPr>
        <w:rPr>
          <w:lang w:eastAsia="ru-RU"/>
        </w:rPr>
      </w:pPr>
    </w:p>
    <w:p w:rsidR="0014344F" w:rsidRPr="00EC20F8" w:rsidRDefault="0014344F" w:rsidP="0014344F">
      <w:pPr>
        <w:pStyle w:val="ConsPlusTitle"/>
        <w:widowControl/>
        <w:ind w:firstLine="709"/>
        <w:jc w:val="both"/>
        <w:rPr>
          <w:rFonts w:ascii="Times New Roman" w:hAnsi="Times New Roman" w:cs="Times New Roman"/>
          <w:b w:val="0"/>
          <w:sz w:val="28"/>
          <w:szCs w:val="28"/>
        </w:rPr>
      </w:pPr>
      <w:r w:rsidRPr="00EC20F8">
        <w:rPr>
          <w:rFonts w:ascii="Times New Roman" w:hAnsi="Times New Roman" w:cs="Times New Roman"/>
          <w:b w:val="0"/>
          <w:sz w:val="28"/>
          <w:szCs w:val="28"/>
        </w:rPr>
        <w:t>инвестиции в основной капитал увеличатся по Российской Федерации на 2,4 %, 1,6 %, 4,7 %, соответственно по годам; по Камчатскому краю составят  101,97 %, 97,91 %, 94,46 %, соответственно по годам;</w:t>
      </w:r>
    </w:p>
    <w:p w:rsidR="0014344F" w:rsidRPr="00EC20F8" w:rsidRDefault="0014344F" w:rsidP="0014344F">
      <w:pPr>
        <w:pStyle w:val="ConsPlusTitle"/>
        <w:widowControl/>
        <w:ind w:firstLine="709"/>
        <w:jc w:val="both"/>
        <w:rPr>
          <w:rFonts w:ascii="Times New Roman" w:hAnsi="Times New Roman" w:cs="Times New Roman"/>
          <w:b w:val="0"/>
          <w:sz w:val="28"/>
          <w:szCs w:val="28"/>
        </w:rPr>
      </w:pPr>
      <w:r w:rsidRPr="00EC20F8">
        <w:rPr>
          <w:rFonts w:ascii="Times New Roman" w:hAnsi="Times New Roman" w:cs="Times New Roman"/>
          <w:b w:val="0"/>
          <w:sz w:val="28"/>
          <w:szCs w:val="28"/>
        </w:rPr>
        <w:t>оборот розничной торговли по Российской Федерации увеличится в сопоставимых ценах на 2,1-3,6 %; по Камчатскому краю - на 0,2 -3,6 %.</w:t>
      </w:r>
    </w:p>
    <w:p w:rsidR="0014344F" w:rsidRPr="00EC20F8" w:rsidRDefault="0014344F" w:rsidP="0014344F">
      <w:pPr>
        <w:pStyle w:val="ConsPlusTitle"/>
        <w:widowControl/>
        <w:ind w:firstLine="709"/>
        <w:jc w:val="both"/>
        <w:rPr>
          <w:rFonts w:ascii="Times New Roman" w:hAnsi="Times New Roman" w:cs="Times New Roman"/>
          <w:b w:val="0"/>
          <w:sz w:val="28"/>
          <w:szCs w:val="28"/>
        </w:rPr>
      </w:pPr>
    </w:p>
    <w:p w:rsidR="0014344F" w:rsidRPr="00EC20F8" w:rsidRDefault="0014344F" w:rsidP="0014344F">
      <w:pPr>
        <w:pStyle w:val="1"/>
      </w:pPr>
      <w:bookmarkStart w:id="14" w:name="_Toc400529657"/>
      <w:bookmarkStart w:id="15" w:name="_Toc335475309"/>
      <w:bookmarkStart w:id="16" w:name="_Toc335475550"/>
      <w:bookmarkStart w:id="17" w:name="_Toc337642396"/>
      <w:bookmarkStart w:id="18" w:name="_Toc368930194"/>
      <w:bookmarkStart w:id="19" w:name="_Toc368930818"/>
      <w:bookmarkStart w:id="20" w:name="_Toc368988874"/>
      <w:r w:rsidRPr="00EC20F8">
        <w:t>2. Краткая характеристика сценарных условий</w:t>
      </w:r>
      <w:bookmarkEnd w:id="14"/>
      <w:r w:rsidRPr="00EC20F8">
        <w:t xml:space="preserve"> </w:t>
      </w:r>
    </w:p>
    <w:bookmarkEnd w:id="15"/>
    <w:bookmarkEnd w:id="16"/>
    <w:bookmarkEnd w:id="17"/>
    <w:bookmarkEnd w:id="18"/>
    <w:bookmarkEnd w:id="19"/>
    <w:bookmarkEnd w:id="20"/>
    <w:p w:rsidR="0014344F" w:rsidRPr="00EC20F8" w:rsidRDefault="0014344F" w:rsidP="0014344F"/>
    <w:p w:rsidR="0014344F" w:rsidRPr="00EC20F8" w:rsidRDefault="0014344F" w:rsidP="0014344F">
      <w:pPr>
        <w:pStyle w:val="aa"/>
        <w:spacing w:after="0" w:line="240" w:lineRule="auto"/>
        <w:ind w:firstLine="720"/>
        <w:jc w:val="both"/>
        <w:rPr>
          <w:rFonts w:ascii="Times New Roman" w:hAnsi="Times New Roman" w:cs="Times New Roman"/>
          <w:sz w:val="28"/>
          <w:szCs w:val="28"/>
        </w:rPr>
      </w:pPr>
      <w:bookmarkStart w:id="21" w:name="_Toc368988875"/>
      <w:r w:rsidRPr="00EC20F8">
        <w:rPr>
          <w:rFonts w:ascii="Times New Roman" w:hAnsi="Times New Roman" w:cs="Times New Roman"/>
          <w:sz w:val="28"/>
          <w:szCs w:val="28"/>
        </w:rPr>
        <w:t>Прогноз сценарных условий социально-экономического развития Российской Федерации на период 2015 – 2017 годов разработан на вариантной основе в составе двух основных вариантов – вариант 1 (базовый) и вариант 2 (умеренно-оптимистичный).</w:t>
      </w:r>
    </w:p>
    <w:p w:rsidR="0014344F" w:rsidRPr="00EC20F8" w:rsidRDefault="0014344F" w:rsidP="0014344F">
      <w:pPr>
        <w:spacing w:line="240" w:lineRule="auto"/>
        <w:ind w:firstLine="720"/>
        <w:jc w:val="both"/>
        <w:rPr>
          <w:rFonts w:ascii="Times New Roman" w:hAnsi="Times New Roman" w:cs="Times New Roman"/>
          <w:sz w:val="28"/>
          <w:szCs w:val="28"/>
        </w:rPr>
      </w:pPr>
      <w:r w:rsidRPr="00EC20F8">
        <w:rPr>
          <w:rFonts w:ascii="Times New Roman" w:hAnsi="Times New Roman" w:cs="Times New Roman"/>
          <w:sz w:val="28"/>
          <w:szCs w:val="28"/>
        </w:rPr>
        <w:t xml:space="preserve">Варианты 1, 2 разработаны на основе единой гипотезы внешних условий. В основных вариантах прогноза предполагается  ускорение роста мировой экономики, </w:t>
      </w:r>
      <w:proofErr w:type="gramStart"/>
      <w:r w:rsidRPr="00EC20F8">
        <w:rPr>
          <w:rFonts w:ascii="Times New Roman" w:hAnsi="Times New Roman" w:cs="Times New Roman"/>
          <w:sz w:val="28"/>
          <w:szCs w:val="28"/>
        </w:rPr>
        <w:t>связанного</w:t>
      </w:r>
      <w:proofErr w:type="gramEnd"/>
      <w:r w:rsidRPr="00EC20F8">
        <w:rPr>
          <w:rFonts w:ascii="Times New Roman" w:hAnsi="Times New Roman" w:cs="Times New Roman"/>
          <w:sz w:val="28"/>
          <w:szCs w:val="28"/>
        </w:rPr>
        <w:t xml:space="preserve"> прежде всего с динамикой развитых стран. Ожидаемый уровень цены на нефть </w:t>
      </w:r>
      <w:proofErr w:type="spellStart"/>
      <w:r w:rsidRPr="00EC20F8">
        <w:rPr>
          <w:rFonts w:ascii="Times New Roman" w:hAnsi="Times New Roman" w:cs="Times New Roman"/>
          <w:sz w:val="28"/>
          <w:szCs w:val="28"/>
        </w:rPr>
        <w:t>Urals</w:t>
      </w:r>
      <w:proofErr w:type="spellEnd"/>
      <w:r w:rsidRPr="00EC20F8">
        <w:rPr>
          <w:rFonts w:ascii="Times New Roman" w:hAnsi="Times New Roman" w:cs="Times New Roman"/>
          <w:sz w:val="28"/>
          <w:szCs w:val="28"/>
        </w:rPr>
        <w:t xml:space="preserve"> в 2014 году повышен на 3 доллара, до 104 долларов США за баррель в результате сохранения высоких цен в январе-апреле те</w:t>
      </w:r>
      <w:r w:rsidR="00511BAE" w:rsidRPr="00EC20F8">
        <w:rPr>
          <w:rFonts w:ascii="Times New Roman" w:hAnsi="Times New Roman" w:cs="Times New Roman"/>
          <w:sz w:val="28"/>
          <w:szCs w:val="28"/>
        </w:rPr>
        <w:t xml:space="preserve">кущего года. В 2015 – 2017 </w:t>
      </w:r>
      <w:proofErr w:type="spellStart"/>
      <w:proofErr w:type="gramStart"/>
      <w:r w:rsidR="00511BAE" w:rsidRPr="00EC20F8">
        <w:rPr>
          <w:rFonts w:ascii="Times New Roman" w:hAnsi="Times New Roman" w:cs="Times New Roman"/>
          <w:sz w:val="28"/>
          <w:szCs w:val="28"/>
        </w:rPr>
        <w:t>гг</w:t>
      </w:r>
      <w:proofErr w:type="spellEnd"/>
      <w:proofErr w:type="gramEnd"/>
      <w:r w:rsidR="00511BAE" w:rsidRPr="00EC20F8">
        <w:rPr>
          <w:rFonts w:ascii="Times New Roman" w:hAnsi="Times New Roman" w:cs="Times New Roman"/>
          <w:sz w:val="28"/>
          <w:szCs w:val="28"/>
        </w:rPr>
        <w:t xml:space="preserve"> </w:t>
      </w:r>
      <w:r w:rsidRPr="00EC20F8">
        <w:rPr>
          <w:rFonts w:ascii="Times New Roman" w:hAnsi="Times New Roman" w:cs="Times New Roman"/>
          <w:sz w:val="28"/>
          <w:szCs w:val="28"/>
        </w:rPr>
        <w:t xml:space="preserve">цена на нефть составит 100 долларов США за баррель, что соответствует предыдущей версии официального прогноза. </w:t>
      </w:r>
    </w:p>
    <w:p w:rsidR="0014344F" w:rsidRPr="00EC20F8" w:rsidRDefault="0014344F" w:rsidP="0014344F">
      <w:pPr>
        <w:spacing w:line="240" w:lineRule="auto"/>
        <w:ind w:firstLine="720"/>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Различие вариантов обусловлено отличием моделей поведения частного бизнеса, перспективами повышения его конкурентоспособности и эффективностью реализации государственной политики развития и перспективами структурного и бюджетного маневра. </w:t>
      </w:r>
      <w:proofErr w:type="gramEnd"/>
    </w:p>
    <w:p w:rsidR="0014344F" w:rsidRPr="00EC20F8" w:rsidRDefault="0014344F" w:rsidP="0014344F">
      <w:pPr>
        <w:spacing w:line="240" w:lineRule="auto"/>
        <w:ind w:firstLine="720"/>
        <w:jc w:val="both"/>
        <w:rPr>
          <w:rFonts w:ascii="Times New Roman" w:hAnsi="Times New Roman" w:cs="Times New Roman"/>
          <w:sz w:val="28"/>
          <w:szCs w:val="28"/>
        </w:rPr>
      </w:pPr>
      <w:r w:rsidRPr="00EC20F8">
        <w:rPr>
          <w:rFonts w:ascii="Times New Roman" w:hAnsi="Times New Roman" w:cs="Times New Roman"/>
          <w:sz w:val="28"/>
          <w:szCs w:val="28"/>
        </w:rPr>
        <w:t xml:space="preserve">Вариант 1  предполагает сохранение инерционных трендов,  сложившихся в последний период, консервативную инвестиционную политику частных компаний, ограниченные расходы на развитие компаний инфраструктурного сектора, при стагнации государственного спроса. </w:t>
      </w:r>
    </w:p>
    <w:p w:rsidR="0014344F" w:rsidRPr="00EC20F8" w:rsidRDefault="0014344F" w:rsidP="0014344F">
      <w:pPr>
        <w:spacing w:line="240" w:lineRule="auto"/>
        <w:ind w:firstLine="720"/>
        <w:jc w:val="both"/>
        <w:rPr>
          <w:rFonts w:ascii="Times New Roman" w:hAnsi="Times New Roman" w:cs="Times New Roman"/>
          <w:sz w:val="28"/>
          <w:szCs w:val="28"/>
        </w:rPr>
      </w:pPr>
      <w:r w:rsidRPr="00EC20F8">
        <w:rPr>
          <w:rFonts w:ascii="Times New Roman" w:hAnsi="Times New Roman" w:cs="Times New Roman"/>
          <w:sz w:val="28"/>
          <w:szCs w:val="28"/>
        </w:rPr>
        <w:t>Бюджетная политика строится в рамках текущих бюджетных правил, что ведет к снижению в реальном выражении государственного инвестиционного спроса.</w:t>
      </w:r>
    </w:p>
    <w:p w:rsidR="0014344F" w:rsidRPr="00EC20F8" w:rsidRDefault="0014344F" w:rsidP="0014344F">
      <w:pPr>
        <w:spacing w:line="240" w:lineRule="auto"/>
        <w:ind w:firstLine="720"/>
        <w:jc w:val="both"/>
        <w:rPr>
          <w:rFonts w:ascii="Times New Roman" w:hAnsi="Times New Roman" w:cs="Times New Roman"/>
          <w:sz w:val="28"/>
          <w:szCs w:val="28"/>
        </w:rPr>
      </w:pPr>
      <w:r w:rsidRPr="00EC20F8">
        <w:rPr>
          <w:rFonts w:ascii="Times New Roman" w:hAnsi="Times New Roman" w:cs="Times New Roman"/>
          <w:sz w:val="28"/>
          <w:szCs w:val="28"/>
        </w:rPr>
        <w:t>Вариант 2 (умеренно-оптимистичный) предполагает более активную политику, направленную на снижение негативных последствий, связанных с ростом геополитической напряженности, и создание условий для более устойчивого долгосрочного роста.</w:t>
      </w:r>
    </w:p>
    <w:p w:rsidR="0014344F" w:rsidRPr="00EC20F8" w:rsidRDefault="0014344F" w:rsidP="0014344F">
      <w:pPr>
        <w:spacing w:line="240" w:lineRule="auto"/>
        <w:ind w:firstLine="720"/>
        <w:jc w:val="both"/>
        <w:rPr>
          <w:rFonts w:ascii="Times New Roman" w:hAnsi="Times New Roman" w:cs="Times New Roman"/>
          <w:sz w:val="28"/>
          <w:szCs w:val="28"/>
        </w:rPr>
      </w:pPr>
      <w:proofErr w:type="gramStart"/>
      <w:r w:rsidRPr="00EC20F8">
        <w:rPr>
          <w:rFonts w:ascii="Times New Roman" w:hAnsi="Times New Roman" w:cs="Times New Roman"/>
          <w:sz w:val="28"/>
          <w:szCs w:val="28"/>
        </w:rPr>
        <w:t>Сценарий характеризует развитие экономики в условиях повышения доверия частного бизнеса, применения дополнительных мер стимулирующего характера, связанных с расходами бюджета по финансированию новых инфраструктурных проектов, поддержанию кредитования наиболее уязвимых секторов экономики, увеличению финансирования развития человеческого капитала.</w:t>
      </w:r>
      <w:proofErr w:type="gramEnd"/>
      <w:r w:rsidRPr="00EC20F8">
        <w:rPr>
          <w:rFonts w:ascii="Times New Roman" w:hAnsi="Times New Roman" w:cs="Times New Roman"/>
          <w:sz w:val="28"/>
          <w:szCs w:val="28"/>
        </w:rPr>
        <w:t xml:space="preserve"> Вариантом предусматривается расширение возможностей кредитного финансирования </w:t>
      </w:r>
      <w:proofErr w:type="gramStart"/>
      <w:r w:rsidRPr="00EC20F8">
        <w:rPr>
          <w:rFonts w:ascii="Times New Roman" w:hAnsi="Times New Roman" w:cs="Times New Roman"/>
          <w:sz w:val="28"/>
          <w:szCs w:val="28"/>
        </w:rPr>
        <w:t>инвестиций частного капитала</w:t>
      </w:r>
      <w:proofErr w:type="gramEnd"/>
      <w:r w:rsidRPr="00EC20F8">
        <w:rPr>
          <w:rFonts w:ascii="Times New Roman" w:hAnsi="Times New Roman" w:cs="Times New Roman"/>
          <w:sz w:val="28"/>
          <w:szCs w:val="28"/>
        </w:rPr>
        <w:t xml:space="preserve">, в том числе за счет </w:t>
      </w:r>
      <w:proofErr w:type="spellStart"/>
      <w:r w:rsidRPr="00EC20F8">
        <w:rPr>
          <w:rFonts w:ascii="Times New Roman" w:hAnsi="Times New Roman" w:cs="Times New Roman"/>
          <w:sz w:val="28"/>
          <w:szCs w:val="28"/>
        </w:rPr>
        <w:t>докапитализации</w:t>
      </w:r>
      <w:proofErr w:type="spellEnd"/>
      <w:r w:rsidRPr="00EC20F8">
        <w:rPr>
          <w:rFonts w:ascii="Times New Roman" w:hAnsi="Times New Roman" w:cs="Times New Roman"/>
          <w:sz w:val="28"/>
          <w:szCs w:val="28"/>
        </w:rPr>
        <w:t xml:space="preserve"> банковской системы.</w:t>
      </w:r>
    </w:p>
    <w:p w:rsidR="00C451D7" w:rsidRPr="00EC20F8" w:rsidRDefault="0014344F" w:rsidP="00C451D7">
      <w:pPr>
        <w:spacing w:line="240" w:lineRule="auto"/>
        <w:ind w:firstLine="720"/>
        <w:jc w:val="both"/>
        <w:rPr>
          <w:rFonts w:ascii="Times New Roman" w:hAnsi="Times New Roman" w:cs="Times New Roman"/>
          <w:sz w:val="28"/>
          <w:szCs w:val="28"/>
        </w:rPr>
      </w:pPr>
      <w:r w:rsidRPr="00EC20F8">
        <w:rPr>
          <w:rFonts w:ascii="Times New Roman" w:hAnsi="Times New Roman" w:cs="Times New Roman"/>
          <w:sz w:val="28"/>
          <w:szCs w:val="28"/>
        </w:rPr>
        <w:t>Вариант основан на осуществлении дополнительных мер, заложенных в государственных программах развития образования, здравоохранения, науки и технологий, транспортной инфраструктуры, а также традиционных секторов экономики</w:t>
      </w:r>
      <w:r w:rsidR="00C451D7" w:rsidRPr="00EC20F8">
        <w:rPr>
          <w:rFonts w:ascii="Times New Roman" w:hAnsi="Times New Roman" w:cs="Times New Roman"/>
          <w:sz w:val="28"/>
          <w:szCs w:val="28"/>
        </w:rPr>
        <w:t>. Динамика инфляции в Российской Фед</w:t>
      </w:r>
      <w:r w:rsidR="00927D1B" w:rsidRPr="00EC20F8">
        <w:rPr>
          <w:rFonts w:ascii="Times New Roman" w:hAnsi="Times New Roman" w:cs="Times New Roman"/>
          <w:sz w:val="28"/>
          <w:szCs w:val="28"/>
        </w:rPr>
        <w:t xml:space="preserve">ерации </w:t>
      </w:r>
      <w:r w:rsidR="00DF4C41" w:rsidRPr="00EC20F8">
        <w:rPr>
          <w:rFonts w:ascii="Times New Roman" w:hAnsi="Times New Roman" w:cs="Times New Roman"/>
          <w:sz w:val="28"/>
          <w:szCs w:val="28"/>
        </w:rPr>
        <w:t xml:space="preserve">по первому (консервативному) варианту представлена </w:t>
      </w:r>
      <w:r w:rsidR="00927D1B" w:rsidRPr="00EC20F8">
        <w:rPr>
          <w:rFonts w:ascii="Times New Roman" w:hAnsi="Times New Roman" w:cs="Times New Roman"/>
          <w:sz w:val="28"/>
          <w:szCs w:val="28"/>
        </w:rPr>
        <w:t>в таблице 2</w:t>
      </w:r>
      <w:r w:rsidR="001F0460" w:rsidRPr="00EC20F8">
        <w:rPr>
          <w:rFonts w:ascii="Times New Roman" w:hAnsi="Times New Roman" w:cs="Times New Roman"/>
          <w:sz w:val="28"/>
          <w:szCs w:val="28"/>
        </w:rPr>
        <w:t>.1.</w:t>
      </w:r>
      <w:r w:rsidR="00C451D7" w:rsidRPr="00EC20F8">
        <w:rPr>
          <w:rFonts w:ascii="Times New Roman" w:hAnsi="Times New Roman" w:cs="Times New Roman"/>
          <w:sz w:val="28"/>
          <w:szCs w:val="28"/>
        </w:rPr>
        <w:t xml:space="preserve"> </w:t>
      </w:r>
    </w:p>
    <w:p w:rsidR="00C451D7" w:rsidRPr="00EC20F8" w:rsidRDefault="00C451D7" w:rsidP="00C451D7">
      <w:pPr>
        <w:ind w:left="8364" w:hanging="284"/>
        <w:jc w:val="both"/>
        <w:rPr>
          <w:rFonts w:ascii="Times New Roman" w:hAnsi="Times New Roman" w:cs="Times New Roman"/>
          <w:i/>
          <w:sz w:val="24"/>
          <w:szCs w:val="24"/>
        </w:rPr>
      </w:pPr>
      <w:r w:rsidRPr="00EC20F8">
        <w:rPr>
          <w:rFonts w:ascii="Times New Roman" w:hAnsi="Times New Roman" w:cs="Times New Roman"/>
          <w:i/>
          <w:sz w:val="24"/>
          <w:szCs w:val="24"/>
        </w:rPr>
        <w:t xml:space="preserve">Таблица </w:t>
      </w:r>
      <w:r w:rsidR="001F0460" w:rsidRPr="00EC20F8">
        <w:rPr>
          <w:rFonts w:ascii="Times New Roman" w:hAnsi="Times New Roman" w:cs="Times New Roman"/>
          <w:i/>
          <w:sz w:val="24"/>
          <w:szCs w:val="24"/>
        </w:rPr>
        <w:t>2.</w:t>
      </w:r>
      <w:r w:rsidRPr="00EC20F8">
        <w:rPr>
          <w:rFonts w:ascii="Times New Roman" w:hAnsi="Times New Roman" w:cs="Times New Roman"/>
          <w:i/>
          <w:sz w:val="24"/>
          <w:szCs w:val="24"/>
        </w:rPr>
        <w:t>1</w:t>
      </w:r>
      <w:r w:rsidR="001F0460" w:rsidRPr="00EC20F8">
        <w:rPr>
          <w:rFonts w:ascii="Times New Roman" w:hAnsi="Times New Roman" w:cs="Times New Roman"/>
          <w:i/>
          <w:sz w:val="24"/>
          <w:szCs w:val="24"/>
        </w:rPr>
        <w:t>.</w:t>
      </w:r>
    </w:p>
    <w:tbl>
      <w:tblPr>
        <w:tblW w:w="10047" w:type="dxa"/>
        <w:jc w:val="center"/>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5"/>
        <w:gridCol w:w="2666"/>
        <w:gridCol w:w="1259"/>
        <w:gridCol w:w="1286"/>
        <w:gridCol w:w="1329"/>
        <w:gridCol w:w="1287"/>
        <w:gridCol w:w="1385"/>
      </w:tblGrid>
      <w:tr w:rsidR="00C451D7" w:rsidRPr="00EC20F8" w:rsidTr="00927D1B">
        <w:trPr>
          <w:trHeight w:val="130"/>
          <w:jc w:val="center"/>
        </w:trPr>
        <w:tc>
          <w:tcPr>
            <w:tcW w:w="835" w:type="dxa"/>
            <w:vMerge w:val="restart"/>
            <w:tcBorders>
              <w:top w:val="single" w:sz="4" w:space="0" w:color="auto"/>
              <w:left w:val="single" w:sz="4" w:space="0" w:color="auto"/>
              <w:bottom w:val="single" w:sz="4" w:space="0" w:color="auto"/>
              <w:right w:val="single" w:sz="4" w:space="0" w:color="auto"/>
            </w:tcBorders>
            <w:hideMark/>
          </w:tcPr>
          <w:p w:rsidR="00C451D7" w:rsidRPr="00EC20F8" w:rsidRDefault="00C451D7" w:rsidP="00927D1B">
            <w:pPr>
              <w:ind w:left="-47" w:right="-70"/>
              <w:jc w:val="center"/>
              <w:rPr>
                <w:rFonts w:ascii="Times New Roman" w:hAnsi="Times New Roman" w:cs="Times New Roman"/>
                <w:spacing w:val="-20"/>
                <w:sz w:val="26"/>
                <w:szCs w:val="26"/>
              </w:rPr>
            </w:pPr>
            <w:r w:rsidRPr="00EC20F8">
              <w:rPr>
                <w:rFonts w:ascii="Times New Roman" w:hAnsi="Times New Roman" w:cs="Times New Roman"/>
                <w:spacing w:val="-20"/>
                <w:sz w:val="26"/>
                <w:szCs w:val="26"/>
              </w:rPr>
              <w:t>№</w:t>
            </w:r>
          </w:p>
          <w:p w:rsidR="00C451D7" w:rsidRPr="00EC20F8" w:rsidRDefault="00C451D7" w:rsidP="00927D1B">
            <w:pPr>
              <w:ind w:left="-47" w:right="-70"/>
              <w:jc w:val="center"/>
              <w:rPr>
                <w:rFonts w:ascii="Times New Roman" w:hAnsi="Times New Roman" w:cs="Times New Roman"/>
                <w:spacing w:val="-20"/>
                <w:sz w:val="28"/>
                <w:szCs w:val="28"/>
              </w:rPr>
            </w:pPr>
            <w:proofErr w:type="spellStart"/>
            <w:proofErr w:type="gramStart"/>
            <w:r w:rsidRPr="00EC20F8">
              <w:rPr>
                <w:rFonts w:ascii="Times New Roman" w:hAnsi="Times New Roman" w:cs="Times New Roman"/>
                <w:spacing w:val="-20"/>
                <w:sz w:val="26"/>
                <w:szCs w:val="26"/>
              </w:rPr>
              <w:t>п</w:t>
            </w:r>
            <w:proofErr w:type="spellEnd"/>
            <w:proofErr w:type="gramEnd"/>
            <w:r w:rsidRPr="00EC20F8">
              <w:rPr>
                <w:rFonts w:ascii="Times New Roman" w:hAnsi="Times New Roman" w:cs="Times New Roman"/>
                <w:spacing w:val="-20"/>
                <w:sz w:val="26"/>
                <w:szCs w:val="26"/>
              </w:rPr>
              <w:t>/</w:t>
            </w:r>
            <w:proofErr w:type="spellStart"/>
            <w:r w:rsidRPr="00EC20F8">
              <w:rPr>
                <w:rFonts w:ascii="Times New Roman" w:hAnsi="Times New Roman" w:cs="Times New Roman"/>
                <w:spacing w:val="-20"/>
                <w:sz w:val="26"/>
                <w:szCs w:val="26"/>
              </w:rPr>
              <w:t>п</w:t>
            </w:r>
            <w:proofErr w:type="spellEnd"/>
          </w:p>
        </w:tc>
        <w:tc>
          <w:tcPr>
            <w:tcW w:w="2666" w:type="dxa"/>
            <w:vMerge w:val="restart"/>
            <w:tcBorders>
              <w:top w:val="single" w:sz="4" w:space="0" w:color="auto"/>
              <w:left w:val="single" w:sz="4" w:space="0" w:color="auto"/>
              <w:bottom w:val="single" w:sz="4" w:space="0" w:color="auto"/>
              <w:right w:val="single" w:sz="4" w:space="0" w:color="auto"/>
            </w:tcBorders>
            <w:hideMark/>
          </w:tcPr>
          <w:p w:rsidR="00C451D7" w:rsidRPr="00EC20F8" w:rsidRDefault="00C451D7" w:rsidP="00927D1B">
            <w:pPr>
              <w:jc w:val="center"/>
              <w:rPr>
                <w:rFonts w:ascii="Times New Roman" w:hAnsi="Times New Roman" w:cs="Times New Roman"/>
                <w:spacing w:val="-20"/>
                <w:sz w:val="26"/>
                <w:szCs w:val="26"/>
              </w:rPr>
            </w:pPr>
            <w:r w:rsidRPr="00EC20F8">
              <w:rPr>
                <w:rFonts w:ascii="Times New Roman" w:hAnsi="Times New Roman" w:cs="Times New Roman"/>
                <w:spacing w:val="-20"/>
                <w:sz w:val="26"/>
                <w:szCs w:val="26"/>
              </w:rPr>
              <w:t xml:space="preserve">Наименование </w:t>
            </w:r>
          </w:p>
          <w:p w:rsidR="00C451D7" w:rsidRPr="00EC20F8" w:rsidRDefault="00C451D7" w:rsidP="00927D1B">
            <w:pPr>
              <w:jc w:val="center"/>
              <w:rPr>
                <w:rFonts w:ascii="Times New Roman" w:hAnsi="Times New Roman" w:cs="Times New Roman"/>
                <w:spacing w:val="-20"/>
                <w:sz w:val="26"/>
                <w:szCs w:val="26"/>
              </w:rPr>
            </w:pPr>
            <w:r w:rsidRPr="00EC20F8">
              <w:rPr>
                <w:rFonts w:ascii="Times New Roman" w:hAnsi="Times New Roman" w:cs="Times New Roman"/>
                <w:spacing w:val="-20"/>
                <w:sz w:val="26"/>
                <w:szCs w:val="26"/>
              </w:rPr>
              <w:t>показателя</w:t>
            </w:r>
          </w:p>
        </w:tc>
        <w:tc>
          <w:tcPr>
            <w:tcW w:w="6546" w:type="dxa"/>
            <w:gridSpan w:val="5"/>
            <w:tcBorders>
              <w:top w:val="single" w:sz="4" w:space="0" w:color="auto"/>
              <w:left w:val="single" w:sz="4" w:space="0" w:color="auto"/>
              <w:bottom w:val="single" w:sz="4" w:space="0" w:color="auto"/>
              <w:right w:val="single" w:sz="4" w:space="0" w:color="auto"/>
            </w:tcBorders>
            <w:vAlign w:val="center"/>
            <w:hideMark/>
          </w:tcPr>
          <w:p w:rsidR="00C451D7" w:rsidRPr="00EC20F8" w:rsidRDefault="00C451D7" w:rsidP="00C451D7">
            <w:pPr>
              <w:jc w:val="center"/>
              <w:rPr>
                <w:rFonts w:ascii="Times New Roman" w:hAnsi="Times New Roman" w:cs="Times New Roman"/>
                <w:spacing w:val="-20"/>
                <w:sz w:val="26"/>
                <w:szCs w:val="26"/>
              </w:rPr>
            </w:pPr>
            <w:r w:rsidRPr="00EC20F8">
              <w:rPr>
                <w:rFonts w:ascii="Times New Roman" w:hAnsi="Times New Roman" w:cs="Times New Roman"/>
                <w:spacing w:val="-20"/>
                <w:sz w:val="26"/>
                <w:szCs w:val="26"/>
              </w:rPr>
              <w:t>Прирост цен (декабрь/декабрь предыдущего года), %</w:t>
            </w:r>
          </w:p>
        </w:tc>
      </w:tr>
      <w:tr w:rsidR="00C451D7" w:rsidRPr="00EC20F8" w:rsidTr="00927D1B">
        <w:trPr>
          <w:trHeight w:val="287"/>
          <w:jc w:val="center"/>
        </w:trPr>
        <w:tc>
          <w:tcPr>
            <w:tcW w:w="835" w:type="dxa"/>
            <w:vMerge/>
            <w:tcBorders>
              <w:top w:val="single" w:sz="4" w:space="0" w:color="auto"/>
              <w:left w:val="single" w:sz="4" w:space="0" w:color="auto"/>
              <w:bottom w:val="single" w:sz="4" w:space="0" w:color="auto"/>
              <w:right w:val="single" w:sz="4" w:space="0" w:color="auto"/>
            </w:tcBorders>
            <w:vAlign w:val="center"/>
            <w:hideMark/>
          </w:tcPr>
          <w:p w:rsidR="00C451D7" w:rsidRPr="00EC20F8" w:rsidRDefault="00C451D7" w:rsidP="00927D1B">
            <w:pPr>
              <w:jc w:val="center"/>
              <w:rPr>
                <w:rFonts w:ascii="Times New Roman" w:hAnsi="Times New Roman" w:cs="Times New Roman"/>
                <w:spacing w:val="-20"/>
                <w:sz w:val="28"/>
                <w:szCs w:val="28"/>
              </w:rPr>
            </w:pPr>
          </w:p>
        </w:tc>
        <w:tc>
          <w:tcPr>
            <w:tcW w:w="2666" w:type="dxa"/>
            <w:vMerge/>
            <w:tcBorders>
              <w:top w:val="single" w:sz="4" w:space="0" w:color="auto"/>
              <w:left w:val="single" w:sz="4" w:space="0" w:color="auto"/>
              <w:bottom w:val="single" w:sz="4" w:space="0" w:color="auto"/>
              <w:right w:val="single" w:sz="4" w:space="0" w:color="auto"/>
            </w:tcBorders>
            <w:vAlign w:val="center"/>
            <w:hideMark/>
          </w:tcPr>
          <w:p w:rsidR="00C451D7" w:rsidRPr="00EC20F8" w:rsidRDefault="00C451D7" w:rsidP="00927D1B">
            <w:pPr>
              <w:jc w:val="center"/>
              <w:rPr>
                <w:rFonts w:ascii="Times New Roman" w:hAnsi="Times New Roman" w:cs="Times New Roman"/>
                <w:spacing w:val="-20"/>
                <w:sz w:val="26"/>
                <w:szCs w:val="26"/>
              </w:rPr>
            </w:pPr>
          </w:p>
        </w:tc>
        <w:tc>
          <w:tcPr>
            <w:tcW w:w="1259" w:type="dxa"/>
            <w:tcBorders>
              <w:top w:val="single" w:sz="4" w:space="0" w:color="auto"/>
              <w:left w:val="single" w:sz="4" w:space="0" w:color="auto"/>
              <w:bottom w:val="single" w:sz="4" w:space="0" w:color="auto"/>
              <w:right w:val="single" w:sz="4" w:space="0" w:color="auto"/>
            </w:tcBorders>
            <w:vAlign w:val="center"/>
            <w:hideMark/>
          </w:tcPr>
          <w:p w:rsidR="00C451D7" w:rsidRPr="00EC20F8" w:rsidRDefault="00C451D7" w:rsidP="00927D1B">
            <w:pPr>
              <w:jc w:val="center"/>
              <w:rPr>
                <w:rFonts w:ascii="Times New Roman" w:hAnsi="Times New Roman" w:cs="Times New Roman"/>
                <w:spacing w:val="-20"/>
                <w:sz w:val="26"/>
                <w:szCs w:val="26"/>
              </w:rPr>
            </w:pPr>
            <w:r w:rsidRPr="00EC20F8">
              <w:rPr>
                <w:rFonts w:ascii="Times New Roman" w:hAnsi="Times New Roman" w:cs="Times New Roman"/>
                <w:spacing w:val="-20"/>
                <w:sz w:val="26"/>
                <w:szCs w:val="26"/>
              </w:rPr>
              <w:t>2013 год</w:t>
            </w:r>
          </w:p>
        </w:tc>
        <w:tc>
          <w:tcPr>
            <w:tcW w:w="1286" w:type="dxa"/>
            <w:tcBorders>
              <w:top w:val="single" w:sz="4" w:space="0" w:color="auto"/>
              <w:left w:val="single" w:sz="4" w:space="0" w:color="auto"/>
              <w:bottom w:val="single" w:sz="4" w:space="0" w:color="auto"/>
              <w:right w:val="single" w:sz="4" w:space="0" w:color="auto"/>
            </w:tcBorders>
            <w:vAlign w:val="center"/>
            <w:hideMark/>
          </w:tcPr>
          <w:p w:rsidR="00C451D7" w:rsidRPr="00EC20F8" w:rsidRDefault="00C451D7" w:rsidP="00927D1B">
            <w:pPr>
              <w:jc w:val="center"/>
              <w:rPr>
                <w:rFonts w:ascii="Times New Roman" w:hAnsi="Times New Roman" w:cs="Times New Roman"/>
                <w:spacing w:val="-20"/>
                <w:sz w:val="26"/>
                <w:szCs w:val="26"/>
              </w:rPr>
            </w:pPr>
            <w:r w:rsidRPr="00EC20F8">
              <w:rPr>
                <w:rFonts w:ascii="Times New Roman" w:hAnsi="Times New Roman" w:cs="Times New Roman"/>
                <w:spacing w:val="-20"/>
                <w:sz w:val="26"/>
                <w:szCs w:val="26"/>
              </w:rPr>
              <w:t>2014 год</w:t>
            </w:r>
          </w:p>
        </w:tc>
        <w:tc>
          <w:tcPr>
            <w:tcW w:w="1329" w:type="dxa"/>
            <w:tcBorders>
              <w:top w:val="single" w:sz="4" w:space="0" w:color="auto"/>
              <w:left w:val="single" w:sz="4" w:space="0" w:color="auto"/>
              <w:bottom w:val="single" w:sz="4" w:space="0" w:color="auto"/>
              <w:right w:val="single" w:sz="4" w:space="0" w:color="auto"/>
            </w:tcBorders>
            <w:vAlign w:val="center"/>
            <w:hideMark/>
          </w:tcPr>
          <w:p w:rsidR="00C451D7" w:rsidRPr="00EC20F8" w:rsidRDefault="00C451D7" w:rsidP="00927D1B">
            <w:pPr>
              <w:jc w:val="center"/>
              <w:rPr>
                <w:rFonts w:ascii="Times New Roman" w:hAnsi="Times New Roman" w:cs="Times New Roman"/>
                <w:spacing w:val="-20"/>
                <w:sz w:val="26"/>
                <w:szCs w:val="26"/>
              </w:rPr>
            </w:pPr>
            <w:r w:rsidRPr="00EC20F8">
              <w:rPr>
                <w:rFonts w:ascii="Times New Roman" w:hAnsi="Times New Roman" w:cs="Times New Roman"/>
                <w:spacing w:val="-20"/>
                <w:sz w:val="26"/>
                <w:szCs w:val="26"/>
              </w:rPr>
              <w:t>2015 год</w:t>
            </w:r>
          </w:p>
        </w:tc>
        <w:tc>
          <w:tcPr>
            <w:tcW w:w="1287" w:type="dxa"/>
            <w:tcBorders>
              <w:top w:val="single" w:sz="4" w:space="0" w:color="auto"/>
              <w:left w:val="single" w:sz="4" w:space="0" w:color="auto"/>
              <w:bottom w:val="single" w:sz="4" w:space="0" w:color="auto"/>
              <w:right w:val="single" w:sz="4" w:space="0" w:color="auto"/>
            </w:tcBorders>
            <w:vAlign w:val="center"/>
            <w:hideMark/>
          </w:tcPr>
          <w:p w:rsidR="00C451D7" w:rsidRPr="00EC20F8" w:rsidRDefault="00C451D7" w:rsidP="00927D1B">
            <w:pPr>
              <w:jc w:val="center"/>
              <w:rPr>
                <w:rFonts w:ascii="Times New Roman" w:hAnsi="Times New Roman" w:cs="Times New Roman"/>
                <w:spacing w:val="-20"/>
                <w:sz w:val="26"/>
                <w:szCs w:val="26"/>
              </w:rPr>
            </w:pPr>
            <w:r w:rsidRPr="00EC20F8">
              <w:rPr>
                <w:rFonts w:ascii="Times New Roman" w:hAnsi="Times New Roman" w:cs="Times New Roman"/>
                <w:spacing w:val="-20"/>
                <w:sz w:val="26"/>
                <w:szCs w:val="26"/>
              </w:rPr>
              <w:t>2016 год</w:t>
            </w:r>
          </w:p>
        </w:tc>
        <w:tc>
          <w:tcPr>
            <w:tcW w:w="1385" w:type="dxa"/>
            <w:tcBorders>
              <w:top w:val="single" w:sz="4" w:space="0" w:color="auto"/>
              <w:left w:val="single" w:sz="4" w:space="0" w:color="auto"/>
              <w:bottom w:val="single" w:sz="4" w:space="0" w:color="auto"/>
              <w:right w:val="single" w:sz="4" w:space="0" w:color="auto"/>
            </w:tcBorders>
            <w:vAlign w:val="center"/>
            <w:hideMark/>
          </w:tcPr>
          <w:p w:rsidR="00C451D7" w:rsidRPr="00EC20F8" w:rsidRDefault="00C451D7" w:rsidP="00927D1B">
            <w:pPr>
              <w:jc w:val="center"/>
              <w:rPr>
                <w:rFonts w:ascii="Times New Roman" w:hAnsi="Times New Roman" w:cs="Times New Roman"/>
                <w:spacing w:val="-20"/>
                <w:sz w:val="26"/>
                <w:szCs w:val="26"/>
              </w:rPr>
            </w:pPr>
            <w:r w:rsidRPr="00EC20F8">
              <w:rPr>
                <w:rFonts w:ascii="Times New Roman" w:hAnsi="Times New Roman" w:cs="Times New Roman"/>
                <w:spacing w:val="-20"/>
                <w:sz w:val="26"/>
                <w:szCs w:val="26"/>
              </w:rPr>
              <w:t>2017 год</w:t>
            </w:r>
          </w:p>
        </w:tc>
      </w:tr>
      <w:tr w:rsidR="00C451D7" w:rsidRPr="00EC20F8" w:rsidTr="00927D1B">
        <w:trPr>
          <w:trHeight w:val="20"/>
          <w:jc w:val="center"/>
        </w:trPr>
        <w:tc>
          <w:tcPr>
            <w:tcW w:w="835" w:type="dxa"/>
            <w:tcBorders>
              <w:top w:val="single" w:sz="4" w:space="0" w:color="auto"/>
              <w:left w:val="single" w:sz="4" w:space="0" w:color="auto"/>
              <w:bottom w:val="single" w:sz="4" w:space="0" w:color="auto"/>
              <w:right w:val="single" w:sz="4" w:space="0" w:color="auto"/>
            </w:tcBorders>
            <w:hideMark/>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1</w:t>
            </w:r>
          </w:p>
        </w:tc>
        <w:tc>
          <w:tcPr>
            <w:tcW w:w="2666" w:type="dxa"/>
            <w:tcBorders>
              <w:top w:val="single" w:sz="4" w:space="0" w:color="auto"/>
              <w:left w:val="single" w:sz="4" w:space="0" w:color="auto"/>
              <w:bottom w:val="single" w:sz="4" w:space="0" w:color="auto"/>
              <w:right w:val="single" w:sz="4" w:space="0" w:color="auto"/>
            </w:tcBorders>
            <w:hideMark/>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2</w:t>
            </w:r>
          </w:p>
        </w:tc>
        <w:tc>
          <w:tcPr>
            <w:tcW w:w="1259" w:type="dxa"/>
            <w:tcBorders>
              <w:top w:val="single" w:sz="4" w:space="0" w:color="auto"/>
              <w:left w:val="single" w:sz="4" w:space="0" w:color="auto"/>
              <w:bottom w:val="single" w:sz="4" w:space="0" w:color="auto"/>
              <w:right w:val="single" w:sz="4" w:space="0" w:color="auto"/>
            </w:tcBorders>
            <w:vAlign w:val="center"/>
            <w:hideMark/>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3</w:t>
            </w:r>
          </w:p>
        </w:tc>
        <w:tc>
          <w:tcPr>
            <w:tcW w:w="1286" w:type="dxa"/>
            <w:tcBorders>
              <w:top w:val="single" w:sz="4" w:space="0" w:color="auto"/>
              <w:left w:val="single" w:sz="4" w:space="0" w:color="auto"/>
              <w:bottom w:val="single" w:sz="4" w:space="0" w:color="auto"/>
              <w:right w:val="single" w:sz="4" w:space="0" w:color="auto"/>
            </w:tcBorders>
            <w:vAlign w:val="center"/>
            <w:hideMark/>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4</w:t>
            </w:r>
          </w:p>
        </w:tc>
        <w:tc>
          <w:tcPr>
            <w:tcW w:w="1329" w:type="dxa"/>
            <w:tcBorders>
              <w:top w:val="single" w:sz="4" w:space="0" w:color="auto"/>
              <w:left w:val="single" w:sz="4" w:space="0" w:color="auto"/>
              <w:bottom w:val="single" w:sz="4" w:space="0" w:color="auto"/>
              <w:right w:val="single" w:sz="4" w:space="0" w:color="auto"/>
            </w:tcBorders>
            <w:vAlign w:val="center"/>
            <w:hideMark/>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5</w:t>
            </w:r>
          </w:p>
        </w:tc>
        <w:tc>
          <w:tcPr>
            <w:tcW w:w="1287" w:type="dxa"/>
            <w:tcBorders>
              <w:top w:val="single" w:sz="4" w:space="0" w:color="auto"/>
              <w:left w:val="single" w:sz="4" w:space="0" w:color="auto"/>
              <w:bottom w:val="single" w:sz="4" w:space="0" w:color="auto"/>
              <w:right w:val="single" w:sz="4" w:space="0" w:color="auto"/>
            </w:tcBorders>
            <w:vAlign w:val="center"/>
            <w:hideMark/>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6</w:t>
            </w:r>
          </w:p>
        </w:tc>
        <w:tc>
          <w:tcPr>
            <w:tcW w:w="1385" w:type="dxa"/>
            <w:tcBorders>
              <w:top w:val="single" w:sz="4" w:space="0" w:color="auto"/>
              <w:left w:val="single" w:sz="4" w:space="0" w:color="auto"/>
              <w:bottom w:val="single" w:sz="4" w:space="0" w:color="auto"/>
              <w:right w:val="single" w:sz="4" w:space="0" w:color="auto"/>
            </w:tcBorders>
            <w:vAlign w:val="center"/>
            <w:hideMark/>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7</w:t>
            </w:r>
          </w:p>
        </w:tc>
      </w:tr>
      <w:tr w:rsidR="00C451D7" w:rsidRPr="00EC20F8" w:rsidTr="00927D1B">
        <w:trPr>
          <w:trHeight w:val="20"/>
          <w:jc w:val="center"/>
        </w:trPr>
        <w:tc>
          <w:tcPr>
            <w:tcW w:w="835" w:type="dxa"/>
            <w:tcBorders>
              <w:top w:val="single" w:sz="4" w:space="0" w:color="auto"/>
              <w:left w:val="single" w:sz="4" w:space="0" w:color="auto"/>
              <w:bottom w:val="single" w:sz="4" w:space="0" w:color="auto"/>
              <w:right w:val="single" w:sz="4" w:space="0" w:color="auto"/>
            </w:tcBorders>
            <w:vAlign w:val="center"/>
            <w:hideMark/>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1.</w:t>
            </w:r>
          </w:p>
        </w:tc>
        <w:tc>
          <w:tcPr>
            <w:tcW w:w="2666" w:type="dxa"/>
            <w:tcBorders>
              <w:top w:val="single" w:sz="4" w:space="0" w:color="auto"/>
              <w:left w:val="single" w:sz="4" w:space="0" w:color="auto"/>
              <w:bottom w:val="single" w:sz="4" w:space="0" w:color="auto"/>
              <w:right w:val="single" w:sz="4" w:space="0" w:color="auto"/>
            </w:tcBorders>
            <w:vAlign w:val="center"/>
            <w:hideMark/>
          </w:tcPr>
          <w:p w:rsidR="00C451D7" w:rsidRPr="00EC20F8" w:rsidRDefault="00C451D7" w:rsidP="00927D1B">
            <w:pPr>
              <w:rPr>
                <w:rFonts w:ascii="Times New Roman" w:hAnsi="Times New Roman" w:cs="Times New Roman"/>
                <w:strike/>
                <w:spacing w:val="-20"/>
                <w:sz w:val="28"/>
                <w:szCs w:val="28"/>
              </w:rPr>
            </w:pPr>
            <w:r w:rsidRPr="00EC20F8">
              <w:rPr>
                <w:rFonts w:ascii="Times New Roman" w:hAnsi="Times New Roman" w:cs="Times New Roman"/>
                <w:spacing w:val="-20"/>
                <w:sz w:val="28"/>
                <w:szCs w:val="28"/>
              </w:rPr>
              <w:t>Инфляция</w:t>
            </w:r>
          </w:p>
        </w:tc>
        <w:tc>
          <w:tcPr>
            <w:tcW w:w="1259" w:type="dxa"/>
            <w:tcBorders>
              <w:top w:val="single" w:sz="4" w:space="0" w:color="auto"/>
              <w:left w:val="single" w:sz="4" w:space="0" w:color="auto"/>
              <w:bottom w:val="single" w:sz="4" w:space="0" w:color="auto"/>
              <w:right w:val="single" w:sz="4" w:space="0" w:color="auto"/>
            </w:tcBorders>
            <w:vAlign w:val="center"/>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6,5</w:t>
            </w:r>
          </w:p>
        </w:tc>
        <w:tc>
          <w:tcPr>
            <w:tcW w:w="1286" w:type="dxa"/>
            <w:tcBorders>
              <w:top w:val="single" w:sz="4" w:space="0" w:color="auto"/>
              <w:left w:val="single" w:sz="4" w:space="0" w:color="auto"/>
              <w:bottom w:val="single" w:sz="4" w:space="0" w:color="auto"/>
              <w:right w:val="single" w:sz="4" w:space="0" w:color="auto"/>
            </w:tcBorders>
            <w:vAlign w:val="center"/>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5,5–6,5</w:t>
            </w:r>
          </w:p>
        </w:tc>
        <w:tc>
          <w:tcPr>
            <w:tcW w:w="1329" w:type="dxa"/>
            <w:tcBorders>
              <w:top w:val="single" w:sz="4" w:space="0" w:color="auto"/>
              <w:left w:val="single" w:sz="4" w:space="0" w:color="auto"/>
              <w:bottom w:val="single" w:sz="4" w:space="0" w:color="auto"/>
              <w:right w:val="single" w:sz="4" w:space="0" w:color="auto"/>
            </w:tcBorders>
            <w:vAlign w:val="center"/>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4,5–5,5</w:t>
            </w:r>
          </w:p>
        </w:tc>
        <w:tc>
          <w:tcPr>
            <w:tcW w:w="1287" w:type="dxa"/>
            <w:tcBorders>
              <w:top w:val="single" w:sz="4" w:space="0" w:color="auto"/>
              <w:left w:val="single" w:sz="4" w:space="0" w:color="auto"/>
              <w:bottom w:val="single" w:sz="4" w:space="0" w:color="auto"/>
              <w:right w:val="single" w:sz="4" w:space="0" w:color="auto"/>
            </w:tcBorders>
            <w:vAlign w:val="center"/>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4,0–5,0</w:t>
            </w:r>
          </w:p>
        </w:tc>
        <w:tc>
          <w:tcPr>
            <w:tcW w:w="1385" w:type="dxa"/>
            <w:tcBorders>
              <w:top w:val="single" w:sz="4" w:space="0" w:color="auto"/>
              <w:left w:val="single" w:sz="4" w:space="0" w:color="auto"/>
              <w:bottom w:val="single" w:sz="4" w:space="0" w:color="auto"/>
              <w:right w:val="single" w:sz="4" w:space="0" w:color="auto"/>
            </w:tcBorders>
            <w:vAlign w:val="center"/>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3,8–4,8</w:t>
            </w:r>
          </w:p>
        </w:tc>
      </w:tr>
      <w:tr w:rsidR="00C451D7" w:rsidRPr="00EC20F8" w:rsidTr="00927D1B">
        <w:trPr>
          <w:trHeight w:val="20"/>
          <w:jc w:val="center"/>
        </w:trPr>
        <w:tc>
          <w:tcPr>
            <w:tcW w:w="835" w:type="dxa"/>
            <w:tcBorders>
              <w:top w:val="single" w:sz="4" w:space="0" w:color="auto"/>
              <w:left w:val="single" w:sz="4" w:space="0" w:color="auto"/>
              <w:bottom w:val="single" w:sz="4" w:space="0" w:color="auto"/>
              <w:right w:val="single" w:sz="4" w:space="0" w:color="auto"/>
            </w:tcBorders>
            <w:hideMark/>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1.1.</w:t>
            </w:r>
          </w:p>
        </w:tc>
        <w:tc>
          <w:tcPr>
            <w:tcW w:w="2666" w:type="dxa"/>
            <w:tcBorders>
              <w:top w:val="single" w:sz="4" w:space="0" w:color="auto"/>
              <w:left w:val="single" w:sz="4" w:space="0" w:color="auto"/>
              <w:bottom w:val="single" w:sz="4" w:space="0" w:color="auto"/>
              <w:right w:val="single" w:sz="4" w:space="0" w:color="auto"/>
            </w:tcBorders>
            <w:vAlign w:val="center"/>
            <w:hideMark/>
          </w:tcPr>
          <w:p w:rsidR="00C451D7" w:rsidRPr="00EC20F8" w:rsidRDefault="00C451D7" w:rsidP="00927D1B">
            <w:pPr>
              <w:rPr>
                <w:rFonts w:ascii="Times New Roman" w:hAnsi="Times New Roman" w:cs="Times New Roman"/>
                <w:spacing w:val="-20"/>
                <w:sz w:val="28"/>
                <w:szCs w:val="28"/>
              </w:rPr>
            </w:pPr>
            <w:r w:rsidRPr="00EC20F8">
              <w:rPr>
                <w:rFonts w:ascii="Times New Roman" w:hAnsi="Times New Roman" w:cs="Times New Roman"/>
                <w:spacing w:val="-20"/>
                <w:sz w:val="28"/>
                <w:szCs w:val="28"/>
              </w:rPr>
              <w:t>Продовольственные товары, из них:</w:t>
            </w:r>
          </w:p>
        </w:tc>
        <w:tc>
          <w:tcPr>
            <w:tcW w:w="1259" w:type="dxa"/>
            <w:tcBorders>
              <w:top w:val="single" w:sz="4" w:space="0" w:color="auto"/>
              <w:left w:val="single" w:sz="4" w:space="0" w:color="auto"/>
              <w:bottom w:val="single" w:sz="4" w:space="0" w:color="auto"/>
              <w:right w:val="single" w:sz="4" w:space="0" w:color="auto"/>
            </w:tcBorders>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7,3</w:t>
            </w:r>
          </w:p>
        </w:tc>
        <w:tc>
          <w:tcPr>
            <w:tcW w:w="1286" w:type="dxa"/>
            <w:tcBorders>
              <w:top w:val="single" w:sz="4" w:space="0" w:color="auto"/>
              <w:left w:val="single" w:sz="4" w:space="0" w:color="auto"/>
              <w:bottom w:val="single" w:sz="4" w:space="0" w:color="auto"/>
              <w:right w:val="single" w:sz="4" w:space="0" w:color="auto"/>
            </w:tcBorders>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7,2–7,4</w:t>
            </w:r>
          </w:p>
        </w:tc>
        <w:tc>
          <w:tcPr>
            <w:tcW w:w="1329" w:type="dxa"/>
            <w:tcBorders>
              <w:top w:val="single" w:sz="4" w:space="0" w:color="auto"/>
              <w:left w:val="single" w:sz="4" w:space="0" w:color="auto"/>
              <w:bottom w:val="single" w:sz="4" w:space="0" w:color="auto"/>
              <w:right w:val="single" w:sz="4" w:space="0" w:color="auto"/>
            </w:tcBorders>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4,8</w:t>
            </w:r>
          </w:p>
        </w:tc>
        <w:tc>
          <w:tcPr>
            <w:tcW w:w="1287" w:type="dxa"/>
            <w:tcBorders>
              <w:top w:val="single" w:sz="4" w:space="0" w:color="auto"/>
              <w:left w:val="single" w:sz="4" w:space="0" w:color="auto"/>
              <w:bottom w:val="single" w:sz="4" w:space="0" w:color="auto"/>
              <w:right w:val="single" w:sz="4" w:space="0" w:color="auto"/>
            </w:tcBorders>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4,3</w:t>
            </w:r>
          </w:p>
        </w:tc>
        <w:tc>
          <w:tcPr>
            <w:tcW w:w="1385" w:type="dxa"/>
            <w:tcBorders>
              <w:top w:val="single" w:sz="4" w:space="0" w:color="auto"/>
              <w:left w:val="single" w:sz="4" w:space="0" w:color="auto"/>
              <w:bottom w:val="single" w:sz="4" w:space="0" w:color="auto"/>
              <w:right w:val="single" w:sz="4" w:space="0" w:color="auto"/>
            </w:tcBorders>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4,1</w:t>
            </w:r>
          </w:p>
        </w:tc>
      </w:tr>
      <w:tr w:rsidR="00C451D7" w:rsidRPr="00EC20F8" w:rsidTr="00927D1B">
        <w:trPr>
          <w:trHeight w:val="20"/>
          <w:jc w:val="center"/>
        </w:trPr>
        <w:tc>
          <w:tcPr>
            <w:tcW w:w="835" w:type="dxa"/>
            <w:tcBorders>
              <w:top w:val="single" w:sz="4" w:space="0" w:color="auto"/>
              <w:left w:val="single" w:sz="4" w:space="0" w:color="auto"/>
              <w:bottom w:val="single" w:sz="4" w:space="0" w:color="auto"/>
              <w:right w:val="single" w:sz="4" w:space="0" w:color="auto"/>
            </w:tcBorders>
            <w:hideMark/>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1.2.</w:t>
            </w:r>
          </w:p>
        </w:tc>
        <w:tc>
          <w:tcPr>
            <w:tcW w:w="2666" w:type="dxa"/>
            <w:tcBorders>
              <w:top w:val="single" w:sz="4" w:space="0" w:color="auto"/>
              <w:left w:val="single" w:sz="4" w:space="0" w:color="auto"/>
              <w:bottom w:val="single" w:sz="4" w:space="0" w:color="auto"/>
              <w:right w:val="single" w:sz="4" w:space="0" w:color="auto"/>
            </w:tcBorders>
            <w:vAlign w:val="center"/>
            <w:hideMark/>
          </w:tcPr>
          <w:p w:rsidR="00C451D7" w:rsidRPr="00EC20F8" w:rsidRDefault="00C451D7" w:rsidP="00927D1B">
            <w:pPr>
              <w:rPr>
                <w:rFonts w:ascii="Times New Roman" w:hAnsi="Times New Roman" w:cs="Times New Roman"/>
                <w:spacing w:val="-20"/>
                <w:sz w:val="28"/>
                <w:szCs w:val="28"/>
              </w:rPr>
            </w:pPr>
            <w:r w:rsidRPr="00EC20F8">
              <w:rPr>
                <w:rFonts w:ascii="Times New Roman" w:hAnsi="Times New Roman" w:cs="Times New Roman"/>
                <w:spacing w:val="-20"/>
                <w:sz w:val="28"/>
                <w:szCs w:val="28"/>
              </w:rPr>
              <w:t>Непродовольственные товары</w:t>
            </w:r>
          </w:p>
        </w:tc>
        <w:tc>
          <w:tcPr>
            <w:tcW w:w="1259" w:type="dxa"/>
            <w:tcBorders>
              <w:top w:val="single" w:sz="4" w:space="0" w:color="auto"/>
              <w:left w:val="single" w:sz="4" w:space="0" w:color="auto"/>
              <w:bottom w:val="single" w:sz="4" w:space="0" w:color="auto"/>
              <w:right w:val="single" w:sz="4" w:space="0" w:color="auto"/>
            </w:tcBorders>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4,5</w:t>
            </w:r>
          </w:p>
        </w:tc>
        <w:tc>
          <w:tcPr>
            <w:tcW w:w="1286" w:type="dxa"/>
            <w:tcBorders>
              <w:top w:val="single" w:sz="4" w:space="0" w:color="auto"/>
              <w:left w:val="single" w:sz="4" w:space="0" w:color="auto"/>
              <w:bottom w:val="single" w:sz="4" w:space="0" w:color="auto"/>
              <w:right w:val="single" w:sz="4" w:space="0" w:color="auto"/>
            </w:tcBorders>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4,9–5,2</w:t>
            </w:r>
          </w:p>
        </w:tc>
        <w:tc>
          <w:tcPr>
            <w:tcW w:w="1329" w:type="dxa"/>
            <w:tcBorders>
              <w:top w:val="single" w:sz="4" w:space="0" w:color="auto"/>
              <w:left w:val="single" w:sz="4" w:space="0" w:color="auto"/>
              <w:bottom w:val="single" w:sz="4" w:space="0" w:color="auto"/>
              <w:right w:val="single" w:sz="4" w:space="0" w:color="auto"/>
            </w:tcBorders>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4,5</w:t>
            </w:r>
          </w:p>
        </w:tc>
        <w:tc>
          <w:tcPr>
            <w:tcW w:w="1287" w:type="dxa"/>
            <w:tcBorders>
              <w:top w:val="single" w:sz="4" w:space="0" w:color="auto"/>
              <w:left w:val="single" w:sz="4" w:space="0" w:color="auto"/>
              <w:bottom w:val="single" w:sz="4" w:space="0" w:color="auto"/>
              <w:right w:val="single" w:sz="4" w:space="0" w:color="auto"/>
            </w:tcBorders>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3,9</w:t>
            </w:r>
          </w:p>
        </w:tc>
        <w:tc>
          <w:tcPr>
            <w:tcW w:w="1385" w:type="dxa"/>
            <w:tcBorders>
              <w:top w:val="single" w:sz="4" w:space="0" w:color="auto"/>
              <w:left w:val="single" w:sz="4" w:space="0" w:color="auto"/>
              <w:bottom w:val="single" w:sz="4" w:space="0" w:color="auto"/>
              <w:right w:val="single" w:sz="4" w:space="0" w:color="auto"/>
            </w:tcBorders>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3,7</w:t>
            </w:r>
          </w:p>
        </w:tc>
      </w:tr>
      <w:tr w:rsidR="00C451D7" w:rsidRPr="00EC20F8" w:rsidTr="00927D1B">
        <w:trPr>
          <w:trHeight w:val="20"/>
          <w:jc w:val="center"/>
        </w:trPr>
        <w:tc>
          <w:tcPr>
            <w:tcW w:w="835" w:type="dxa"/>
            <w:tcBorders>
              <w:top w:val="single" w:sz="4" w:space="0" w:color="auto"/>
              <w:left w:val="single" w:sz="4" w:space="0" w:color="auto"/>
              <w:bottom w:val="single" w:sz="4" w:space="0" w:color="auto"/>
              <w:right w:val="single" w:sz="4" w:space="0" w:color="auto"/>
            </w:tcBorders>
            <w:hideMark/>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1.3.</w:t>
            </w:r>
          </w:p>
        </w:tc>
        <w:tc>
          <w:tcPr>
            <w:tcW w:w="2666" w:type="dxa"/>
            <w:tcBorders>
              <w:top w:val="single" w:sz="4" w:space="0" w:color="auto"/>
              <w:left w:val="single" w:sz="4" w:space="0" w:color="auto"/>
              <w:bottom w:val="single" w:sz="4" w:space="0" w:color="auto"/>
              <w:right w:val="single" w:sz="4" w:space="0" w:color="auto"/>
            </w:tcBorders>
            <w:vAlign w:val="center"/>
            <w:hideMark/>
          </w:tcPr>
          <w:p w:rsidR="00C451D7" w:rsidRPr="00EC20F8" w:rsidRDefault="00C451D7" w:rsidP="00927D1B">
            <w:pPr>
              <w:rPr>
                <w:rFonts w:ascii="Times New Roman" w:hAnsi="Times New Roman" w:cs="Times New Roman"/>
                <w:spacing w:val="-20"/>
                <w:sz w:val="28"/>
                <w:szCs w:val="28"/>
              </w:rPr>
            </w:pPr>
            <w:r w:rsidRPr="00EC20F8">
              <w:rPr>
                <w:rFonts w:ascii="Times New Roman" w:hAnsi="Times New Roman" w:cs="Times New Roman"/>
                <w:spacing w:val="-20"/>
                <w:sz w:val="28"/>
                <w:szCs w:val="28"/>
              </w:rPr>
              <w:t>Платные услуги, оказываемые населению</w:t>
            </w:r>
          </w:p>
        </w:tc>
        <w:tc>
          <w:tcPr>
            <w:tcW w:w="1259" w:type="dxa"/>
            <w:tcBorders>
              <w:top w:val="single" w:sz="4" w:space="0" w:color="auto"/>
              <w:left w:val="single" w:sz="4" w:space="0" w:color="auto"/>
              <w:bottom w:val="single" w:sz="4" w:space="0" w:color="auto"/>
              <w:right w:val="single" w:sz="4" w:space="0" w:color="auto"/>
            </w:tcBorders>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8,0</w:t>
            </w:r>
          </w:p>
        </w:tc>
        <w:tc>
          <w:tcPr>
            <w:tcW w:w="1286" w:type="dxa"/>
            <w:tcBorders>
              <w:top w:val="single" w:sz="4" w:space="0" w:color="auto"/>
              <w:left w:val="single" w:sz="4" w:space="0" w:color="auto"/>
              <w:bottom w:val="single" w:sz="4" w:space="0" w:color="auto"/>
              <w:right w:val="single" w:sz="4" w:space="0" w:color="auto"/>
            </w:tcBorders>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6,2–6,4</w:t>
            </w:r>
          </w:p>
        </w:tc>
        <w:tc>
          <w:tcPr>
            <w:tcW w:w="1329" w:type="dxa"/>
            <w:tcBorders>
              <w:top w:val="single" w:sz="4" w:space="0" w:color="auto"/>
              <w:left w:val="single" w:sz="4" w:space="0" w:color="auto"/>
              <w:bottom w:val="single" w:sz="4" w:space="0" w:color="auto"/>
              <w:right w:val="single" w:sz="4" w:space="0" w:color="auto"/>
            </w:tcBorders>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6,1</w:t>
            </w:r>
          </w:p>
        </w:tc>
        <w:tc>
          <w:tcPr>
            <w:tcW w:w="1287" w:type="dxa"/>
            <w:tcBorders>
              <w:top w:val="single" w:sz="4" w:space="0" w:color="auto"/>
              <w:left w:val="single" w:sz="4" w:space="0" w:color="auto"/>
              <w:bottom w:val="single" w:sz="4" w:space="0" w:color="auto"/>
              <w:right w:val="single" w:sz="4" w:space="0" w:color="auto"/>
            </w:tcBorders>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5,8</w:t>
            </w:r>
          </w:p>
        </w:tc>
        <w:tc>
          <w:tcPr>
            <w:tcW w:w="1385" w:type="dxa"/>
            <w:tcBorders>
              <w:top w:val="single" w:sz="4" w:space="0" w:color="auto"/>
              <w:left w:val="single" w:sz="4" w:space="0" w:color="auto"/>
              <w:bottom w:val="single" w:sz="4" w:space="0" w:color="auto"/>
              <w:right w:val="single" w:sz="4" w:space="0" w:color="auto"/>
            </w:tcBorders>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5,7</w:t>
            </w:r>
          </w:p>
        </w:tc>
      </w:tr>
      <w:tr w:rsidR="00C451D7" w:rsidRPr="00EC20F8" w:rsidTr="00927D1B">
        <w:trPr>
          <w:trHeight w:val="20"/>
          <w:jc w:val="center"/>
        </w:trPr>
        <w:tc>
          <w:tcPr>
            <w:tcW w:w="835" w:type="dxa"/>
            <w:tcBorders>
              <w:top w:val="single" w:sz="4" w:space="0" w:color="auto"/>
              <w:left w:val="single" w:sz="4" w:space="0" w:color="auto"/>
              <w:bottom w:val="single" w:sz="4" w:space="0" w:color="auto"/>
              <w:right w:val="single" w:sz="4" w:space="0" w:color="auto"/>
            </w:tcBorders>
            <w:hideMark/>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1.3.1.</w:t>
            </w:r>
          </w:p>
        </w:tc>
        <w:tc>
          <w:tcPr>
            <w:tcW w:w="2666" w:type="dxa"/>
            <w:tcBorders>
              <w:top w:val="single" w:sz="4" w:space="0" w:color="auto"/>
              <w:left w:val="single" w:sz="4" w:space="0" w:color="auto"/>
              <w:bottom w:val="single" w:sz="4" w:space="0" w:color="auto"/>
              <w:right w:val="single" w:sz="4" w:space="0" w:color="auto"/>
            </w:tcBorders>
            <w:vAlign w:val="center"/>
            <w:hideMark/>
          </w:tcPr>
          <w:p w:rsidR="00C451D7" w:rsidRPr="00EC20F8" w:rsidRDefault="00C451D7" w:rsidP="00927D1B">
            <w:pPr>
              <w:rPr>
                <w:rFonts w:ascii="Times New Roman" w:hAnsi="Times New Roman" w:cs="Times New Roman"/>
                <w:spacing w:val="-20"/>
                <w:sz w:val="28"/>
                <w:szCs w:val="28"/>
              </w:rPr>
            </w:pPr>
            <w:r w:rsidRPr="00EC20F8">
              <w:rPr>
                <w:rFonts w:ascii="Times New Roman" w:hAnsi="Times New Roman" w:cs="Times New Roman"/>
                <w:spacing w:val="-20"/>
                <w:sz w:val="28"/>
                <w:szCs w:val="28"/>
              </w:rPr>
              <w:t>Услуги организаций жилищно-комму</w:t>
            </w:r>
            <w:r w:rsidRPr="00EC20F8">
              <w:rPr>
                <w:rFonts w:ascii="Times New Roman" w:hAnsi="Times New Roman" w:cs="Times New Roman"/>
                <w:spacing w:val="-20"/>
                <w:sz w:val="28"/>
                <w:szCs w:val="28"/>
              </w:rPr>
              <w:softHyphen/>
              <w:t>нального хозяйства</w:t>
            </w:r>
          </w:p>
        </w:tc>
        <w:tc>
          <w:tcPr>
            <w:tcW w:w="1259" w:type="dxa"/>
            <w:tcBorders>
              <w:top w:val="nil"/>
              <w:left w:val="single" w:sz="4" w:space="0" w:color="auto"/>
              <w:bottom w:val="single" w:sz="4" w:space="0" w:color="auto"/>
              <w:right w:val="single" w:sz="4" w:space="0" w:color="auto"/>
            </w:tcBorders>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9,6</w:t>
            </w:r>
          </w:p>
        </w:tc>
        <w:tc>
          <w:tcPr>
            <w:tcW w:w="1286" w:type="dxa"/>
            <w:tcBorders>
              <w:top w:val="nil"/>
              <w:left w:val="single" w:sz="4" w:space="0" w:color="auto"/>
              <w:bottom w:val="single" w:sz="4" w:space="0" w:color="auto"/>
              <w:right w:val="single" w:sz="4" w:space="0" w:color="auto"/>
            </w:tcBorders>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4,8–4,9</w:t>
            </w:r>
          </w:p>
        </w:tc>
        <w:tc>
          <w:tcPr>
            <w:tcW w:w="1329" w:type="dxa"/>
            <w:tcBorders>
              <w:top w:val="nil"/>
              <w:left w:val="single" w:sz="4" w:space="0" w:color="auto"/>
              <w:bottom w:val="single" w:sz="4" w:space="0" w:color="auto"/>
              <w:right w:val="single" w:sz="4" w:space="0" w:color="auto"/>
            </w:tcBorders>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6,7</w:t>
            </w:r>
          </w:p>
        </w:tc>
        <w:tc>
          <w:tcPr>
            <w:tcW w:w="1287" w:type="dxa"/>
            <w:tcBorders>
              <w:top w:val="nil"/>
              <w:left w:val="single" w:sz="4" w:space="0" w:color="auto"/>
              <w:bottom w:val="single" w:sz="4" w:space="0" w:color="auto"/>
              <w:right w:val="single" w:sz="4" w:space="0" w:color="auto"/>
            </w:tcBorders>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5,4</w:t>
            </w:r>
          </w:p>
        </w:tc>
        <w:tc>
          <w:tcPr>
            <w:tcW w:w="1385" w:type="dxa"/>
            <w:tcBorders>
              <w:top w:val="nil"/>
              <w:left w:val="single" w:sz="4" w:space="0" w:color="auto"/>
              <w:bottom w:val="single" w:sz="4" w:space="0" w:color="auto"/>
              <w:right w:val="single" w:sz="4" w:space="0" w:color="auto"/>
            </w:tcBorders>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5,0</w:t>
            </w:r>
          </w:p>
        </w:tc>
      </w:tr>
      <w:tr w:rsidR="00C451D7" w:rsidRPr="00EC20F8" w:rsidTr="00927D1B">
        <w:trPr>
          <w:trHeight w:val="20"/>
          <w:jc w:val="center"/>
        </w:trPr>
        <w:tc>
          <w:tcPr>
            <w:tcW w:w="835" w:type="dxa"/>
            <w:tcBorders>
              <w:top w:val="single" w:sz="4" w:space="0" w:color="auto"/>
              <w:left w:val="single" w:sz="4" w:space="0" w:color="auto"/>
              <w:bottom w:val="single" w:sz="4" w:space="0" w:color="auto"/>
              <w:right w:val="single" w:sz="4" w:space="0" w:color="auto"/>
            </w:tcBorders>
            <w:vAlign w:val="center"/>
            <w:hideMark/>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1.3.2.</w:t>
            </w:r>
          </w:p>
        </w:tc>
        <w:tc>
          <w:tcPr>
            <w:tcW w:w="2666" w:type="dxa"/>
            <w:tcBorders>
              <w:top w:val="single" w:sz="4" w:space="0" w:color="auto"/>
              <w:left w:val="single" w:sz="4" w:space="0" w:color="auto"/>
              <w:bottom w:val="single" w:sz="4" w:space="0" w:color="auto"/>
              <w:right w:val="single" w:sz="4" w:space="0" w:color="auto"/>
            </w:tcBorders>
            <w:vAlign w:val="center"/>
            <w:hideMark/>
          </w:tcPr>
          <w:p w:rsidR="00C451D7" w:rsidRPr="00EC20F8" w:rsidRDefault="00C451D7" w:rsidP="00927D1B">
            <w:pPr>
              <w:rPr>
                <w:rFonts w:ascii="Times New Roman" w:hAnsi="Times New Roman" w:cs="Times New Roman"/>
                <w:spacing w:val="-20"/>
                <w:sz w:val="28"/>
                <w:szCs w:val="28"/>
              </w:rPr>
            </w:pPr>
            <w:r w:rsidRPr="00EC20F8">
              <w:rPr>
                <w:rFonts w:ascii="Times New Roman" w:hAnsi="Times New Roman" w:cs="Times New Roman"/>
                <w:spacing w:val="-20"/>
                <w:sz w:val="28"/>
                <w:szCs w:val="28"/>
              </w:rPr>
              <w:t>Прочие услуги</w:t>
            </w:r>
          </w:p>
        </w:tc>
        <w:tc>
          <w:tcPr>
            <w:tcW w:w="1259" w:type="dxa"/>
            <w:tcBorders>
              <w:top w:val="single" w:sz="4" w:space="0" w:color="auto"/>
              <w:left w:val="single" w:sz="4" w:space="0" w:color="auto"/>
              <w:bottom w:val="single" w:sz="4" w:space="0" w:color="auto"/>
              <w:right w:val="single" w:sz="4" w:space="0" w:color="auto"/>
            </w:tcBorders>
            <w:vAlign w:val="center"/>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7,2</w:t>
            </w:r>
          </w:p>
        </w:tc>
        <w:tc>
          <w:tcPr>
            <w:tcW w:w="1286" w:type="dxa"/>
            <w:tcBorders>
              <w:top w:val="single" w:sz="4" w:space="0" w:color="auto"/>
              <w:left w:val="single" w:sz="4" w:space="0" w:color="auto"/>
              <w:bottom w:val="single" w:sz="4" w:space="0" w:color="auto"/>
              <w:right w:val="single" w:sz="4" w:space="0" w:color="auto"/>
            </w:tcBorders>
            <w:vAlign w:val="center"/>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6,9–7,1</w:t>
            </w:r>
          </w:p>
        </w:tc>
        <w:tc>
          <w:tcPr>
            <w:tcW w:w="1329" w:type="dxa"/>
            <w:tcBorders>
              <w:top w:val="single" w:sz="4" w:space="0" w:color="auto"/>
              <w:left w:val="single" w:sz="4" w:space="0" w:color="auto"/>
              <w:bottom w:val="single" w:sz="4" w:space="0" w:color="auto"/>
              <w:right w:val="single" w:sz="4" w:space="0" w:color="auto"/>
            </w:tcBorders>
            <w:vAlign w:val="center"/>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5,8</w:t>
            </w:r>
          </w:p>
        </w:tc>
        <w:tc>
          <w:tcPr>
            <w:tcW w:w="1287" w:type="dxa"/>
            <w:tcBorders>
              <w:top w:val="single" w:sz="4" w:space="0" w:color="auto"/>
              <w:left w:val="single" w:sz="4" w:space="0" w:color="auto"/>
              <w:bottom w:val="single" w:sz="4" w:space="0" w:color="auto"/>
              <w:right w:val="single" w:sz="4" w:space="0" w:color="auto"/>
            </w:tcBorders>
            <w:vAlign w:val="center"/>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6,0</w:t>
            </w:r>
          </w:p>
        </w:tc>
        <w:tc>
          <w:tcPr>
            <w:tcW w:w="1385" w:type="dxa"/>
            <w:tcBorders>
              <w:top w:val="single" w:sz="4" w:space="0" w:color="auto"/>
              <w:left w:val="single" w:sz="4" w:space="0" w:color="auto"/>
              <w:bottom w:val="single" w:sz="4" w:space="0" w:color="auto"/>
              <w:right w:val="single" w:sz="4" w:space="0" w:color="auto"/>
            </w:tcBorders>
            <w:vAlign w:val="center"/>
          </w:tcPr>
          <w:p w:rsidR="00C451D7" w:rsidRPr="00EC20F8" w:rsidRDefault="00C451D7" w:rsidP="00927D1B">
            <w:pPr>
              <w:jc w:val="center"/>
              <w:rPr>
                <w:rFonts w:ascii="Times New Roman" w:hAnsi="Times New Roman" w:cs="Times New Roman"/>
                <w:spacing w:val="-20"/>
                <w:sz w:val="28"/>
                <w:szCs w:val="28"/>
              </w:rPr>
            </w:pPr>
            <w:r w:rsidRPr="00EC20F8">
              <w:rPr>
                <w:rFonts w:ascii="Times New Roman" w:hAnsi="Times New Roman" w:cs="Times New Roman"/>
                <w:spacing w:val="-20"/>
                <w:sz w:val="28"/>
                <w:szCs w:val="28"/>
              </w:rPr>
              <w:t>6,0</w:t>
            </w:r>
          </w:p>
        </w:tc>
      </w:tr>
    </w:tbl>
    <w:p w:rsidR="00C451D7" w:rsidRPr="00EC20F8" w:rsidRDefault="00C451D7" w:rsidP="00C451D7">
      <w:pPr>
        <w:ind w:left="8364" w:hanging="7655"/>
        <w:rPr>
          <w:rFonts w:ascii="Times New Roman" w:hAnsi="Times New Roman" w:cs="Times New Roman"/>
          <w:i/>
          <w:sz w:val="12"/>
          <w:szCs w:val="12"/>
        </w:rPr>
      </w:pPr>
    </w:p>
    <w:p w:rsidR="00927D1B" w:rsidRPr="00EC20F8" w:rsidRDefault="00927D1B" w:rsidP="00927D1B">
      <w:pPr>
        <w:ind w:firstLine="851"/>
        <w:jc w:val="both"/>
        <w:rPr>
          <w:rFonts w:ascii="Times New Roman" w:hAnsi="Times New Roman" w:cs="Times New Roman"/>
          <w:sz w:val="28"/>
          <w:szCs w:val="28"/>
        </w:rPr>
      </w:pPr>
      <w:r w:rsidRPr="00EC20F8">
        <w:rPr>
          <w:rFonts w:ascii="Times New Roman" w:hAnsi="Times New Roman" w:cs="Times New Roman"/>
          <w:sz w:val="28"/>
          <w:szCs w:val="28"/>
        </w:rPr>
        <w:t xml:space="preserve">Среднесрочному снижению инфляции будут способствовать умеренное повышение доходов населения, относительная стабилизация номинального курса рубля, при проведении достаточно консервативной денежной политики и ограничении коммунальных тарифов. </w:t>
      </w:r>
    </w:p>
    <w:p w:rsidR="00927D1B" w:rsidRPr="00EC20F8" w:rsidRDefault="00927D1B" w:rsidP="00C451D7">
      <w:pPr>
        <w:ind w:left="8364" w:hanging="7655"/>
        <w:rPr>
          <w:rFonts w:ascii="Times New Roman" w:hAnsi="Times New Roman" w:cs="Times New Roman"/>
          <w:i/>
          <w:sz w:val="12"/>
          <w:szCs w:val="12"/>
        </w:rPr>
      </w:pPr>
    </w:p>
    <w:p w:rsidR="00927D1B" w:rsidRPr="00EC20F8" w:rsidRDefault="00927D1B" w:rsidP="00927D1B">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Динамика инфляции по Камчатскому краю </w:t>
      </w:r>
      <w:r w:rsidR="00DF4C41" w:rsidRPr="00EC20F8">
        <w:rPr>
          <w:rFonts w:ascii="Times New Roman" w:hAnsi="Times New Roman" w:cs="Times New Roman"/>
          <w:sz w:val="28"/>
          <w:szCs w:val="28"/>
        </w:rPr>
        <w:t xml:space="preserve">по первому (консервативному) варианту </w:t>
      </w:r>
      <w:r w:rsidRPr="00EC20F8">
        <w:rPr>
          <w:rFonts w:ascii="Times New Roman" w:hAnsi="Times New Roman" w:cs="Times New Roman"/>
          <w:sz w:val="28"/>
          <w:szCs w:val="28"/>
        </w:rPr>
        <w:t>представлена в таблице 2</w:t>
      </w:r>
      <w:r w:rsidR="001F0460" w:rsidRPr="00EC20F8">
        <w:rPr>
          <w:rFonts w:ascii="Times New Roman" w:hAnsi="Times New Roman" w:cs="Times New Roman"/>
          <w:sz w:val="28"/>
          <w:szCs w:val="28"/>
        </w:rPr>
        <w:t>.2.</w:t>
      </w:r>
    </w:p>
    <w:p w:rsidR="00927D1B" w:rsidRPr="00EC20F8" w:rsidRDefault="00927D1B" w:rsidP="00927D1B">
      <w:pPr>
        <w:ind w:firstLine="851"/>
        <w:jc w:val="right"/>
        <w:rPr>
          <w:rFonts w:ascii="Times New Roman" w:hAnsi="Times New Roman" w:cs="Times New Roman"/>
          <w:i/>
          <w:sz w:val="24"/>
          <w:szCs w:val="24"/>
        </w:rPr>
      </w:pPr>
      <w:r w:rsidRPr="00EC20F8">
        <w:rPr>
          <w:rFonts w:ascii="Times New Roman" w:hAnsi="Times New Roman" w:cs="Times New Roman"/>
          <w:i/>
          <w:sz w:val="24"/>
          <w:szCs w:val="24"/>
        </w:rPr>
        <w:t>Таблица 2.</w:t>
      </w:r>
      <w:r w:rsidR="001F0460" w:rsidRPr="00EC20F8">
        <w:rPr>
          <w:rFonts w:ascii="Times New Roman" w:hAnsi="Times New Roman" w:cs="Times New Roman"/>
          <w:i/>
          <w:sz w:val="24"/>
          <w:szCs w:val="24"/>
        </w:rPr>
        <w:t>2.</w:t>
      </w:r>
    </w:p>
    <w:tbl>
      <w:tblPr>
        <w:tblW w:w="9653"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4"/>
        <w:gridCol w:w="1972"/>
        <w:gridCol w:w="1559"/>
        <w:gridCol w:w="1418"/>
        <w:gridCol w:w="1417"/>
        <w:gridCol w:w="1276"/>
        <w:gridCol w:w="1417"/>
      </w:tblGrid>
      <w:tr w:rsidR="00927D1B" w:rsidRPr="00EC20F8" w:rsidTr="00927D1B">
        <w:tc>
          <w:tcPr>
            <w:tcW w:w="594" w:type="dxa"/>
            <w:vMerge w:val="restart"/>
            <w:tcBorders>
              <w:top w:val="single" w:sz="4" w:space="0" w:color="auto"/>
              <w:left w:val="single" w:sz="4" w:space="0" w:color="auto"/>
              <w:bottom w:val="single" w:sz="4" w:space="0" w:color="auto"/>
              <w:right w:val="single" w:sz="4" w:space="0" w:color="auto"/>
            </w:tcBorders>
            <w:hideMark/>
          </w:tcPr>
          <w:p w:rsidR="00927D1B" w:rsidRPr="00EC20F8" w:rsidRDefault="00927D1B" w:rsidP="00927D1B">
            <w:pPr>
              <w:jc w:val="center"/>
              <w:rPr>
                <w:rFonts w:ascii="Times New Roman" w:eastAsia="Calibri" w:hAnsi="Times New Roman" w:cs="Times New Roman"/>
                <w:spacing w:val="-20"/>
                <w:sz w:val="26"/>
                <w:szCs w:val="26"/>
              </w:rPr>
            </w:pPr>
            <w:r w:rsidRPr="00EC20F8">
              <w:rPr>
                <w:rFonts w:ascii="Times New Roman" w:eastAsia="Calibri" w:hAnsi="Times New Roman" w:cs="Times New Roman"/>
                <w:spacing w:val="-20"/>
                <w:sz w:val="26"/>
                <w:szCs w:val="26"/>
              </w:rPr>
              <w:t xml:space="preserve">№ </w:t>
            </w:r>
            <w:proofErr w:type="spellStart"/>
            <w:proofErr w:type="gramStart"/>
            <w:r w:rsidRPr="00EC20F8">
              <w:rPr>
                <w:rFonts w:ascii="Times New Roman" w:eastAsia="Calibri" w:hAnsi="Times New Roman" w:cs="Times New Roman"/>
                <w:spacing w:val="-20"/>
                <w:sz w:val="26"/>
                <w:szCs w:val="26"/>
              </w:rPr>
              <w:t>п</w:t>
            </w:r>
            <w:proofErr w:type="spellEnd"/>
            <w:proofErr w:type="gramEnd"/>
            <w:r w:rsidRPr="00EC20F8">
              <w:rPr>
                <w:rFonts w:ascii="Times New Roman" w:eastAsia="Calibri" w:hAnsi="Times New Roman" w:cs="Times New Roman"/>
                <w:spacing w:val="-20"/>
                <w:sz w:val="26"/>
                <w:szCs w:val="26"/>
              </w:rPr>
              <w:t>/</w:t>
            </w:r>
            <w:proofErr w:type="spellStart"/>
            <w:r w:rsidRPr="00EC20F8">
              <w:rPr>
                <w:rFonts w:ascii="Times New Roman" w:eastAsia="Calibri" w:hAnsi="Times New Roman" w:cs="Times New Roman"/>
                <w:spacing w:val="-20"/>
                <w:sz w:val="26"/>
                <w:szCs w:val="26"/>
              </w:rPr>
              <w:t>п</w:t>
            </w:r>
            <w:proofErr w:type="spellEnd"/>
          </w:p>
        </w:tc>
        <w:tc>
          <w:tcPr>
            <w:tcW w:w="1972" w:type="dxa"/>
            <w:vMerge w:val="restart"/>
            <w:tcBorders>
              <w:top w:val="single" w:sz="4" w:space="0" w:color="auto"/>
              <w:left w:val="single" w:sz="4" w:space="0" w:color="auto"/>
              <w:bottom w:val="single" w:sz="4" w:space="0" w:color="auto"/>
              <w:right w:val="single" w:sz="4" w:space="0" w:color="auto"/>
            </w:tcBorders>
            <w:hideMark/>
          </w:tcPr>
          <w:p w:rsidR="00927D1B" w:rsidRPr="00EC20F8" w:rsidRDefault="00927D1B" w:rsidP="00927D1B">
            <w:pPr>
              <w:jc w:val="center"/>
              <w:rPr>
                <w:rFonts w:ascii="Times New Roman" w:eastAsia="Calibri" w:hAnsi="Times New Roman" w:cs="Times New Roman"/>
                <w:spacing w:val="-20"/>
                <w:sz w:val="26"/>
                <w:szCs w:val="26"/>
              </w:rPr>
            </w:pPr>
            <w:r w:rsidRPr="00EC20F8">
              <w:rPr>
                <w:rFonts w:ascii="Times New Roman" w:eastAsia="Calibri" w:hAnsi="Times New Roman" w:cs="Times New Roman"/>
                <w:spacing w:val="-20"/>
                <w:sz w:val="26"/>
                <w:szCs w:val="26"/>
              </w:rPr>
              <w:t>Показатель</w:t>
            </w:r>
          </w:p>
        </w:tc>
        <w:tc>
          <w:tcPr>
            <w:tcW w:w="7087" w:type="dxa"/>
            <w:gridSpan w:val="5"/>
            <w:tcBorders>
              <w:top w:val="single" w:sz="4" w:space="0" w:color="auto"/>
              <w:left w:val="single" w:sz="4" w:space="0" w:color="auto"/>
              <w:bottom w:val="single" w:sz="4" w:space="0" w:color="auto"/>
              <w:right w:val="single" w:sz="4" w:space="0" w:color="auto"/>
            </w:tcBorders>
            <w:hideMark/>
          </w:tcPr>
          <w:p w:rsidR="00927D1B" w:rsidRPr="00EC20F8" w:rsidRDefault="00927D1B" w:rsidP="00927D1B">
            <w:pPr>
              <w:jc w:val="center"/>
              <w:rPr>
                <w:rFonts w:ascii="Times New Roman" w:eastAsia="Calibri" w:hAnsi="Times New Roman" w:cs="Times New Roman"/>
                <w:spacing w:val="-20"/>
                <w:sz w:val="26"/>
                <w:szCs w:val="26"/>
              </w:rPr>
            </w:pPr>
            <w:r w:rsidRPr="00EC20F8">
              <w:rPr>
                <w:rFonts w:ascii="Times New Roman" w:eastAsia="Calibri" w:hAnsi="Times New Roman" w:cs="Times New Roman"/>
                <w:spacing w:val="-20"/>
                <w:sz w:val="26"/>
                <w:szCs w:val="26"/>
              </w:rPr>
              <w:t>Прирост цен (декабрь/декабрь предыдущего года), %</w:t>
            </w:r>
          </w:p>
        </w:tc>
      </w:tr>
      <w:tr w:rsidR="00927D1B" w:rsidRPr="00EC20F8" w:rsidTr="00927D1B">
        <w:tc>
          <w:tcPr>
            <w:tcW w:w="594" w:type="dxa"/>
            <w:vMerge/>
            <w:tcBorders>
              <w:top w:val="single" w:sz="4" w:space="0" w:color="auto"/>
              <w:left w:val="single" w:sz="4" w:space="0" w:color="auto"/>
              <w:bottom w:val="single" w:sz="4" w:space="0" w:color="auto"/>
              <w:right w:val="single" w:sz="4" w:space="0" w:color="auto"/>
            </w:tcBorders>
            <w:vAlign w:val="center"/>
            <w:hideMark/>
          </w:tcPr>
          <w:p w:rsidR="00927D1B" w:rsidRPr="00EC20F8" w:rsidRDefault="00927D1B" w:rsidP="00927D1B">
            <w:pPr>
              <w:jc w:val="center"/>
              <w:rPr>
                <w:rFonts w:ascii="Times New Roman" w:eastAsia="Calibri" w:hAnsi="Times New Roman" w:cs="Times New Roman"/>
                <w:spacing w:val="-20"/>
                <w:sz w:val="26"/>
                <w:szCs w:val="26"/>
              </w:rPr>
            </w:pPr>
          </w:p>
        </w:tc>
        <w:tc>
          <w:tcPr>
            <w:tcW w:w="1972" w:type="dxa"/>
            <w:vMerge/>
            <w:tcBorders>
              <w:top w:val="single" w:sz="4" w:space="0" w:color="auto"/>
              <w:left w:val="single" w:sz="4" w:space="0" w:color="auto"/>
              <w:bottom w:val="single" w:sz="4" w:space="0" w:color="auto"/>
              <w:right w:val="single" w:sz="4" w:space="0" w:color="auto"/>
            </w:tcBorders>
            <w:vAlign w:val="center"/>
            <w:hideMark/>
          </w:tcPr>
          <w:p w:rsidR="00927D1B" w:rsidRPr="00EC20F8" w:rsidRDefault="00927D1B" w:rsidP="00927D1B">
            <w:pPr>
              <w:jc w:val="center"/>
              <w:rPr>
                <w:rFonts w:ascii="Times New Roman" w:eastAsia="Calibri" w:hAnsi="Times New Roman" w:cs="Times New Roman"/>
                <w:spacing w:val="-20"/>
                <w:sz w:val="26"/>
                <w:szCs w:val="26"/>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927D1B" w:rsidRPr="00EC20F8" w:rsidRDefault="00927D1B" w:rsidP="00927D1B">
            <w:pPr>
              <w:jc w:val="center"/>
              <w:rPr>
                <w:rFonts w:ascii="Times New Roman" w:eastAsia="Calibri" w:hAnsi="Times New Roman" w:cs="Times New Roman"/>
                <w:spacing w:val="-20"/>
                <w:sz w:val="26"/>
                <w:szCs w:val="26"/>
              </w:rPr>
            </w:pPr>
            <w:r w:rsidRPr="00EC20F8">
              <w:rPr>
                <w:rFonts w:ascii="Times New Roman" w:eastAsia="Calibri" w:hAnsi="Times New Roman" w:cs="Times New Roman"/>
                <w:spacing w:val="-20"/>
                <w:sz w:val="26"/>
                <w:szCs w:val="26"/>
              </w:rPr>
              <w:t>2013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927D1B" w:rsidRPr="00EC20F8" w:rsidRDefault="00927D1B" w:rsidP="00927D1B">
            <w:pPr>
              <w:jc w:val="center"/>
              <w:rPr>
                <w:rFonts w:ascii="Times New Roman" w:eastAsia="Calibri" w:hAnsi="Times New Roman" w:cs="Times New Roman"/>
                <w:spacing w:val="-20"/>
                <w:sz w:val="26"/>
                <w:szCs w:val="26"/>
              </w:rPr>
            </w:pPr>
            <w:r w:rsidRPr="00EC20F8">
              <w:rPr>
                <w:rFonts w:ascii="Times New Roman" w:eastAsia="Calibri" w:hAnsi="Times New Roman" w:cs="Times New Roman"/>
                <w:spacing w:val="-20"/>
                <w:sz w:val="26"/>
                <w:szCs w:val="26"/>
              </w:rPr>
              <w:t>2014 год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7D1B" w:rsidRPr="00EC20F8" w:rsidRDefault="00927D1B" w:rsidP="00927D1B">
            <w:pPr>
              <w:jc w:val="center"/>
              <w:rPr>
                <w:rFonts w:ascii="Times New Roman" w:eastAsia="Calibri" w:hAnsi="Times New Roman" w:cs="Times New Roman"/>
                <w:spacing w:val="-20"/>
                <w:sz w:val="26"/>
                <w:szCs w:val="26"/>
              </w:rPr>
            </w:pPr>
            <w:r w:rsidRPr="00EC20F8">
              <w:rPr>
                <w:rFonts w:ascii="Times New Roman" w:eastAsia="Calibri" w:hAnsi="Times New Roman" w:cs="Times New Roman"/>
                <w:spacing w:val="-20"/>
                <w:sz w:val="26"/>
                <w:szCs w:val="26"/>
              </w:rPr>
              <w:t>2015 год</w:t>
            </w:r>
          </w:p>
        </w:tc>
        <w:tc>
          <w:tcPr>
            <w:tcW w:w="1276" w:type="dxa"/>
            <w:tcBorders>
              <w:top w:val="single" w:sz="4" w:space="0" w:color="auto"/>
              <w:left w:val="single" w:sz="4" w:space="0" w:color="auto"/>
              <w:bottom w:val="single" w:sz="4" w:space="0" w:color="auto"/>
              <w:right w:val="single" w:sz="4" w:space="0" w:color="auto"/>
            </w:tcBorders>
            <w:vAlign w:val="center"/>
            <w:hideMark/>
          </w:tcPr>
          <w:p w:rsidR="00927D1B" w:rsidRPr="00EC20F8" w:rsidRDefault="00927D1B" w:rsidP="00927D1B">
            <w:pPr>
              <w:jc w:val="center"/>
              <w:rPr>
                <w:rFonts w:ascii="Times New Roman" w:eastAsia="Calibri" w:hAnsi="Times New Roman" w:cs="Times New Roman"/>
                <w:spacing w:val="-20"/>
                <w:sz w:val="26"/>
                <w:szCs w:val="26"/>
              </w:rPr>
            </w:pPr>
            <w:r w:rsidRPr="00EC20F8">
              <w:rPr>
                <w:rFonts w:ascii="Times New Roman" w:eastAsia="Calibri" w:hAnsi="Times New Roman" w:cs="Times New Roman"/>
                <w:spacing w:val="-20"/>
                <w:sz w:val="26"/>
                <w:szCs w:val="26"/>
              </w:rPr>
              <w:t>2016 год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7D1B" w:rsidRPr="00EC20F8" w:rsidRDefault="00927D1B" w:rsidP="00927D1B">
            <w:pPr>
              <w:jc w:val="center"/>
              <w:rPr>
                <w:rFonts w:ascii="Times New Roman" w:eastAsia="Calibri" w:hAnsi="Times New Roman" w:cs="Times New Roman"/>
                <w:spacing w:val="-20"/>
                <w:sz w:val="26"/>
                <w:szCs w:val="26"/>
              </w:rPr>
            </w:pPr>
            <w:r w:rsidRPr="00EC20F8">
              <w:rPr>
                <w:rFonts w:ascii="Times New Roman" w:eastAsia="Calibri" w:hAnsi="Times New Roman" w:cs="Times New Roman"/>
                <w:spacing w:val="-20"/>
                <w:sz w:val="26"/>
                <w:szCs w:val="26"/>
              </w:rPr>
              <w:t>2017 год</w:t>
            </w:r>
          </w:p>
        </w:tc>
      </w:tr>
      <w:tr w:rsidR="00927D1B" w:rsidRPr="00EC20F8" w:rsidTr="00927D1B">
        <w:tc>
          <w:tcPr>
            <w:tcW w:w="594" w:type="dxa"/>
            <w:tcBorders>
              <w:top w:val="single" w:sz="4" w:space="0" w:color="auto"/>
              <w:left w:val="single" w:sz="4" w:space="0" w:color="auto"/>
              <w:bottom w:val="single" w:sz="4" w:space="0" w:color="auto"/>
              <w:right w:val="single" w:sz="4" w:space="0" w:color="auto"/>
            </w:tcBorders>
            <w:hideMark/>
          </w:tcPr>
          <w:p w:rsidR="00927D1B" w:rsidRPr="00EC20F8" w:rsidRDefault="00927D1B" w:rsidP="00927D1B">
            <w:pPr>
              <w:jc w:val="center"/>
              <w:rPr>
                <w:rFonts w:ascii="Times New Roman" w:eastAsia="Calibri" w:hAnsi="Times New Roman" w:cs="Times New Roman"/>
                <w:spacing w:val="-20"/>
                <w:sz w:val="28"/>
                <w:szCs w:val="28"/>
              </w:rPr>
            </w:pPr>
            <w:r w:rsidRPr="00EC20F8">
              <w:rPr>
                <w:rFonts w:ascii="Times New Roman" w:eastAsia="Calibri" w:hAnsi="Times New Roman" w:cs="Times New Roman"/>
                <w:spacing w:val="-20"/>
                <w:sz w:val="28"/>
                <w:szCs w:val="28"/>
              </w:rPr>
              <w:t>1</w:t>
            </w:r>
          </w:p>
        </w:tc>
        <w:tc>
          <w:tcPr>
            <w:tcW w:w="1972" w:type="dxa"/>
            <w:tcBorders>
              <w:top w:val="single" w:sz="4" w:space="0" w:color="auto"/>
              <w:left w:val="single" w:sz="4" w:space="0" w:color="auto"/>
              <w:bottom w:val="single" w:sz="4" w:space="0" w:color="auto"/>
              <w:right w:val="single" w:sz="4" w:space="0" w:color="auto"/>
            </w:tcBorders>
            <w:vAlign w:val="center"/>
            <w:hideMark/>
          </w:tcPr>
          <w:p w:rsidR="00927D1B" w:rsidRPr="00EC20F8" w:rsidRDefault="00927D1B" w:rsidP="00927D1B">
            <w:pPr>
              <w:jc w:val="center"/>
              <w:rPr>
                <w:rFonts w:ascii="Times New Roman" w:eastAsia="Calibri" w:hAnsi="Times New Roman" w:cs="Times New Roman"/>
                <w:spacing w:val="-20"/>
                <w:sz w:val="28"/>
                <w:szCs w:val="28"/>
              </w:rPr>
            </w:pPr>
            <w:r w:rsidRPr="00EC20F8">
              <w:rPr>
                <w:rFonts w:ascii="Times New Roman" w:eastAsia="Calibri" w:hAnsi="Times New Roman" w:cs="Times New Roman"/>
                <w:spacing w:val="-20"/>
                <w:sz w:val="28"/>
                <w:szCs w:val="28"/>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rsidR="00927D1B" w:rsidRPr="00EC20F8" w:rsidRDefault="00927D1B" w:rsidP="00927D1B">
            <w:pPr>
              <w:jc w:val="center"/>
              <w:rPr>
                <w:rFonts w:ascii="Times New Roman" w:eastAsia="Calibri" w:hAnsi="Times New Roman" w:cs="Times New Roman"/>
                <w:spacing w:val="-20"/>
                <w:sz w:val="28"/>
                <w:szCs w:val="28"/>
              </w:rPr>
            </w:pPr>
            <w:r w:rsidRPr="00EC20F8">
              <w:rPr>
                <w:rFonts w:ascii="Times New Roman" w:eastAsia="Calibri" w:hAnsi="Times New Roman" w:cs="Times New Roman"/>
                <w:spacing w:val="-20"/>
                <w:sz w:val="28"/>
                <w:szCs w:val="28"/>
              </w:rPr>
              <w:t>3</w:t>
            </w:r>
          </w:p>
        </w:tc>
        <w:tc>
          <w:tcPr>
            <w:tcW w:w="1418" w:type="dxa"/>
            <w:tcBorders>
              <w:top w:val="single" w:sz="4" w:space="0" w:color="auto"/>
              <w:left w:val="single" w:sz="4" w:space="0" w:color="auto"/>
              <w:bottom w:val="single" w:sz="4" w:space="0" w:color="auto"/>
              <w:right w:val="single" w:sz="4" w:space="0" w:color="auto"/>
            </w:tcBorders>
            <w:vAlign w:val="center"/>
            <w:hideMark/>
          </w:tcPr>
          <w:p w:rsidR="00927D1B" w:rsidRPr="00EC20F8" w:rsidRDefault="00927D1B" w:rsidP="00927D1B">
            <w:pPr>
              <w:jc w:val="center"/>
              <w:rPr>
                <w:rFonts w:ascii="Times New Roman" w:eastAsia="Calibri" w:hAnsi="Times New Roman" w:cs="Times New Roman"/>
                <w:spacing w:val="-20"/>
                <w:sz w:val="28"/>
                <w:szCs w:val="28"/>
              </w:rPr>
            </w:pPr>
            <w:r w:rsidRPr="00EC20F8">
              <w:rPr>
                <w:rFonts w:ascii="Times New Roman" w:eastAsia="Calibri" w:hAnsi="Times New Roman" w:cs="Times New Roman"/>
                <w:spacing w:val="-20"/>
                <w:sz w:val="28"/>
                <w:szCs w:val="28"/>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7D1B" w:rsidRPr="00EC20F8" w:rsidRDefault="00927D1B" w:rsidP="00927D1B">
            <w:pPr>
              <w:jc w:val="center"/>
              <w:rPr>
                <w:rFonts w:ascii="Times New Roman" w:eastAsia="Calibri" w:hAnsi="Times New Roman" w:cs="Times New Roman"/>
                <w:spacing w:val="-20"/>
                <w:sz w:val="28"/>
                <w:szCs w:val="28"/>
              </w:rPr>
            </w:pPr>
            <w:r w:rsidRPr="00EC20F8">
              <w:rPr>
                <w:rFonts w:ascii="Times New Roman" w:eastAsia="Calibri" w:hAnsi="Times New Roman" w:cs="Times New Roman"/>
                <w:spacing w:val="-20"/>
                <w:sz w:val="28"/>
                <w:szCs w:val="28"/>
              </w:rPr>
              <w:t>5</w:t>
            </w:r>
          </w:p>
        </w:tc>
        <w:tc>
          <w:tcPr>
            <w:tcW w:w="1276" w:type="dxa"/>
            <w:tcBorders>
              <w:top w:val="single" w:sz="4" w:space="0" w:color="auto"/>
              <w:left w:val="single" w:sz="4" w:space="0" w:color="auto"/>
              <w:bottom w:val="single" w:sz="4" w:space="0" w:color="auto"/>
              <w:right w:val="single" w:sz="4" w:space="0" w:color="auto"/>
            </w:tcBorders>
            <w:vAlign w:val="center"/>
            <w:hideMark/>
          </w:tcPr>
          <w:p w:rsidR="00927D1B" w:rsidRPr="00EC20F8" w:rsidRDefault="00927D1B" w:rsidP="00927D1B">
            <w:pPr>
              <w:jc w:val="center"/>
              <w:rPr>
                <w:rFonts w:ascii="Times New Roman" w:eastAsia="Calibri" w:hAnsi="Times New Roman" w:cs="Times New Roman"/>
                <w:spacing w:val="-20"/>
                <w:sz w:val="28"/>
                <w:szCs w:val="28"/>
              </w:rPr>
            </w:pPr>
            <w:r w:rsidRPr="00EC20F8">
              <w:rPr>
                <w:rFonts w:ascii="Times New Roman" w:eastAsia="Calibri" w:hAnsi="Times New Roman" w:cs="Times New Roman"/>
                <w:spacing w:val="-20"/>
                <w:sz w:val="28"/>
                <w:szCs w:val="28"/>
              </w:rPr>
              <w:t>6</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7D1B" w:rsidRPr="00EC20F8" w:rsidRDefault="00927D1B" w:rsidP="00927D1B">
            <w:pPr>
              <w:jc w:val="center"/>
              <w:rPr>
                <w:rFonts w:ascii="Times New Roman" w:eastAsia="Calibri" w:hAnsi="Times New Roman" w:cs="Times New Roman"/>
                <w:spacing w:val="-20"/>
                <w:sz w:val="28"/>
                <w:szCs w:val="28"/>
              </w:rPr>
            </w:pPr>
            <w:r w:rsidRPr="00EC20F8">
              <w:rPr>
                <w:rFonts w:ascii="Times New Roman" w:eastAsia="Calibri" w:hAnsi="Times New Roman" w:cs="Times New Roman"/>
                <w:spacing w:val="-20"/>
                <w:sz w:val="28"/>
                <w:szCs w:val="28"/>
              </w:rPr>
              <w:t>7</w:t>
            </w:r>
          </w:p>
        </w:tc>
      </w:tr>
      <w:tr w:rsidR="00927D1B" w:rsidRPr="00EC20F8" w:rsidTr="00927D1B">
        <w:tc>
          <w:tcPr>
            <w:tcW w:w="594" w:type="dxa"/>
            <w:tcBorders>
              <w:top w:val="single" w:sz="4" w:space="0" w:color="auto"/>
              <w:left w:val="single" w:sz="4" w:space="0" w:color="auto"/>
              <w:bottom w:val="single" w:sz="4" w:space="0" w:color="auto"/>
              <w:right w:val="single" w:sz="4" w:space="0" w:color="auto"/>
            </w:tcBorders>
            <w:hideMark/>
          </w:tcPr>
          <w:p w:rsidR="00927D1B" w:rsidRPr="00EC20F8" w:rsidRDefault="00927D1B" w:rsidP="00927D1B">
            <w:pPr>
              <w:jc w:val="both"/>
              <w:rPr>
                <w:rFonts w:ascii="Times New Roman" w:eastAsia="Calibri" w:hAnsi="Times New Roman" w:cs="Times New Roman"/>
                <w:spacing w:val="-20"/>
                <w:sz w:val="28"/>
                <w:szCs w:val="28"/>
              </w:rPr>
            </w:pPr>
            <w:r w:rsidRPr="00EC20F8">
              <w:rPr>
                <w:rFonts w:ascii="Times New Roman" w:eastAsia="Calibri" w:hAnsi="Times New Roman" w:cs="Times New Roman"/>
                <w:spacing w:val="-20"/>
                <w:sz w:val="28"/>
                <w:szCs w:val="28"/>
              </w:rPr>
              <w:t>1.</w:t>
            </w:r>
          </w:p>
        </w:tc>
        <w:tc>
          <w:tcPr>
            <w:tcW w:w="1972" w:type="dxa"/>
            <w:tcBorders>
              <w:top w:val="single" w:sz="4" w:space="0" w:color="auto"/>
              <w:left w:val="single" w:sz="4" w:space="0" w:color="auto"/>
              <w:bottom w:val="single" w:sz="4" w:space="0" w:color="auto"/>
              <w:right w:val="single" w:sz="4" w:space="0" w:color="auto"/>
            </w:tcBorders>
            <w:vAlign w:val="center"/>
            <w:hideMark/>
          </w:tcPr>
          <w:p w:rsidR="00927D1B" w:rsidRPr="00EC20F8" w:rsidRDefault="00927D1B" w:rsidP="00927D1B">
            <w:pPr>
              <w:jc w:val="both"/>
              <w:rPr>
                <w:rFonts w:ascii="Times New Roman" w:eastAsia="Calibri" w:hAnsi="Times New Roman" w:cs="Times New Roman"/>
                <w:spacing w:val="-20"/>
                <w:sz w:val="28"/>
                <w:szCs w:val="28"/>
              </w:rPr>
            </w:pPr>
            <w:r w:rsidRPr="00EC20F8">
              <w:rPr>
                <w:rFonts w:ascii="Times New Roman" w:eastAsia="Calibri" w:hAnsi="Times New Roman" w:cs="Times New Roman"/>
                <w:spacing w:val="-20"/>
                <w:sz w:val="28"/>
                <w:szCs w:val="28"/>
              </w:rPr>
              <w:t>Инфляция</w:t>
            </w:r>
          </w:p>
        </w:tc>
        <w:tc>
          <w:tcPr>
            <w:tcW w:w="1559" w:type="dxa"/>
            <w:tcBorders>
              <w:top w:val="single" w:sz="4" w:space="0" w:color="auto"/>
              <w:left w:val="single" w:sz="4" w:space="0" w:color="auto"/>
              <w:bottom w:val="single" w:sz="4" w:space="0" w:color="auto"/>
              <w:right w:val="single" w:sz="4" w:space="0" w:color="auto"/>
            </w:tcBorders>
          </w:tcPr>
          <w:p w:rsidR="00927D1B" w:rsidRPr="00EC20F8" w:rsidRDefault="00927D1B" w:rsidP="00927D1B">
            <w:pPr>
              <w:jc w:val="center"/>
              <w:rPr>
                <w:rFonts w:ascii="Times New Roman" w:eastAsia="Calibri" w:hAnsi="Times New Roman" w:cs="Times New Roman"/>
                <w:spacing w:val="-20"/>
                <w:sz w:val="28"/>
                <w:szCs w:val="28"/>
              </w:rPr>
            </w:pPr>
            <w:r w:rsidRPr="00EC20F8">
              <w:rPr>
                <w:rFonts w:ascii="Times New Roman" w:eastAsia="Calibri" w:hAnsi="Times New Roman" w:cs="Times New Roman"/>
                <w:spacing w:val="-20"/>
                <w:sz w:val="28"/>
                <w:szCs w:val="28"/>
              </w:rPr>
              <w:t>6,27</w:t>
            </w:r>
          </w:p>
        </w:tc>
        <w:tc>
          <w:tcPr>
            <w:tcW w:w="1418" w:type="dxa"/>
            <w:tcBorders>
              <w:top w:val="single" w:sz="4" w:space="0" w:color="auto"/>
              <w:left w:val="single" w:sz="4" w:space="0" w:color="auto"/>
              <w:bottom w:val="single" w:sz="4" w:space="0" w:color="auto"/>
              <w:right w:val="single" w:sz="4" w:space="0" w:color="auto"/>
            </w:tcBorders>
          </w:tcPr>
          <w:p w:rsidR="00927D1B" w:rsidRPr="00EC20F8" w:rsidRDefault="00927D1B" w:rsidP="00927D1B">
            <w:pPr>
              <w:jc w:val="center"/>
              <w:rPr>
                <w:rFonts w:ascii="Times New Roman" w:eastAsia="Calibri" w:hAnsi="Times New Roman" w:cs="Times New Roman"/>
                <w:spacing w:val="-20"/>
                <w:sz w:val="28"/>
                <w:szCs w:val="28"/>
              </w:rPr>
            </w:pPr>
            <w:r w:rsidRPr="00EC20F8">
              <w:rPr>
                <w:rFonts w:ascii="Times New Roman" w:eastAsia="Calibri" w:hAnsi="Times New Roman" w:cs="Times New Roman"/>
                <w:spacing w:val="-20"/>
                <w:sz w:val="28"/>
                <w:szCs w:val="28"/>
              </w:rPr>
              <w:t>5,6</w:t>
            </w:r>
          </w:p>
        </w:tc>
        <w:tc>
          <w:tcPr>
            <w:tcW w:w="1417" w:type="dxa"/>
            <w:tcBorders>
              <w:top w:val="single" w:sz="4" w:space="0" w:color="auto"/>
              <w:left w:val="single" w:sz="4" w:space="0" w:color="auto"/>
              <w:bottom w:val="single" w:sz="4" w:space="0" w:color="auto"/>
              <w:right w:val="single" w:sz="4" w:space="0" w:color="auto"/>
            </w:tcBorders>
          </w:tcPr>
          <w:p w:rsidR="00927D1B" w:rsidRPr="00EC20F8" w:rsidRDefault="00927D1B" w:rsidP="00927D1B">
            <w:pPr>
              <w:jc w:val="center"/>
              <w:rPr>
                <w:rFonts w:ascii="Times New Roman" w:eastAsia="Calibri" w:hAnsi="Times New Roman" w:cs="Times New Roman"/>
                <w:spacing w:val="-20"/>
                <w:sz w:val="28"/>
                <w:szCs w:val="28"/>
              </w:rPr>
            </w:pPr>
            <w:r w:rsidRPr="00EC20F8">
              <w:rPr>
                <w:rFonts w:ascii="Times New Roman" w:eastAsia="Calibri" w:hAnsi="Times New Roman" w:cs="Times New Roman"/>
                <w:spacing w:val="-20"/>
                <w:sz w:val="28"/>
                <w:szCs w:val="28"/>
              </w:rPr>
              <w:t>5,8</w:t>
            </w:r>
          </w:p>
        </w:tc>
        <w:tc>
          <w:tcPr>
            <w:tcW w:w="1276" w:type="dxa"/>
            <w:tcBorders>
              <w:top w:val="single" w:sz="4" w:space="0" w:color="auto"/>
              <w:left w:val="single" w:sz="4" w:space="0" w:color="auto"/>
              <w:bottom w:val="single" w:sz="4" w:space="0" w:color="auto"/>
              <w:right w:val="single" w:sz="4" w:space="0" w:color="auto"/>
            </w:tcBorders>
          </w:tcPr>
          <w:p w:rsidR="00927D1B" w:rsidRPr="00EC20F8" w:rsidRDefault="00927D1B" w:rsidP="00927D1B">
            <w:pPr>
              <w:jc w:val="center"/>
              <w:rPr>
                <w:rFonts w:ascii="Times New Roman" w:eastAsia="Calibri" w:hAnsi="Times New Roman" w:cs="Times New Roman"/>
                <w:spacing w:val="-20"/>
                <w:sz w:val="28"/>
                <w:szCs w:val="28"/>
              </w:rPr>
            </w:pPr>
            <w:r w:rsidRPr="00EC20F8">
              <w:rPr>
                <w:rFonts w:ascii="Times New Roman" w:eastAsia="Calibri" w:hAnsi="Times New Roman" w:cs="Times New Roman"/>
                <w:spacing w:val="-20"/>
                <w:sz w:val="28"/>
                <w:szCs w:val="28"/>
              </w:rPr>
              <w:t>5,5</w:t>
            </w:r>
          </w:p>
        </w:tc>
        <w:tc>
          <w:tcPr>
            <w:tcW w:w="1417" w:type="dxa"/>
            <w:tcBorders>
              <w:top w:val="single" w:sz="4" w:space="0" w:color="auto"/>
              <w:left w:val="single" w:sz="4" w:space="0" w:color="auto"/>
              <w:bottom w:val="single" w:sz="4" w:space="0" w:color="auto"/>
              <w:right w:val="single" w:sz="4" w:space="0" w:color="auto"/>
            </w:tcBorders>
          </w:tcPr>
          <w:p w:rsidR="00927D1B" w:rsidRPr="00EC20F8" w:rsidRDefault="00927D1B" w:rsidP="00927D1B">
            <w:pPr>
              <w:jc w:val="center"/>
              <w:rPr>
                <w:rFonts w:ascii="Times New Roman" w:eastAsia="Calibri" w:hAnsi="Times New Roman" w:cs="Times New Roman"/>
                <w:spacing w:val="-20"/>
                <w:sz w:val="28"/>
                <w:szCs w:val="28"/>
              </w:rPr>
            </w:pPr>
            <w:r w:rsidRPr="00EC20F8">
              <w:rPr>
                <w:rFonts w:ascii="Times New Roman" w:eastAsia="Calibri" w:hAnsi="Times New Roman" w:cs="Times New Roman"/>
                <w:spacing w:val="-20"/>
                <w:sz w:val="28"/>
                <w:szCs w:val="28"/>
              </w:rPr>
              <w:t>5,2</w:t>
            </w:r>
          </w:p>
        </w:tc>
      </w:tr>
    </w:tbl>
    <w:p w:rsidR="00AF7F67" w:rsidRPr="00EC20F8" w:rsidRDefault="00AF7F67" w:rsidP="00AF7F67">
      <w:pPr>
        <w:ind w:firstLine="851"/>
        <w:jc w:val="both"/>
        <w:rPr>
          <w:rFonts w:ascii="Times New Roman" w:hAnsi="Times New Roman" w:cs="Times New Roman"/>
          <w:sz w:val="28"/>
          <w:szCs w:val="28"/>
        </w:rPr>
      </w:pPr>
    </w:p>
    <w:p w:rsidR="00AF7F67" w:rsidRPr="00EC20F8" w:rsidRDefault="00AF7F67" w:rsidP="00AF7F67">
      <w:pPr>
        <w:ind w:firstLine="851"/>
        <w:jc w:val="both"/>
        <w:rPr>
          <w:rFonts w:ascii="Times New Roman" w:hAnsi="Times New Roman" w:cs="Times New Roman"/>
          <w:bCs/>
          <w:sz w:val="28"/>
          <w:szCs w:val="28"/>
        </w:rPr>
      </w:pPr>
      <w:r w:rsidRPr="00EC20F8">
        <w:rPr>
          <w:rFonts w:ascii="Times New Roman" w:hAnsi="Times New Roman" w:cs="Times New Roman"/>
          <w:sz w:val="28"/>
          <w:szCs w:val="28"/>
        </w:rPr>
        <w:t xml:space="preserve">Замедление темпов роста российской экономики отмечается с 2013 года. </w:t>
      </w:r>
      <w:proofErr w:type="spellStart"/>
      <w:r w:rsidRPr="00EC20F8">
        <w:rPr>
          <w:rFonts w:ascii="Times New Roman" w:hAnsi="Times New Roman" w:cs="Times New Roman"/>
          <w:sz w:val="28"/>
          <w:szCs w:val="28"/>
        </w:rPr>
        <w:t>Валовый</w:t>
      </w:r>
      <w:proofErr w:type="spellEnd"/>
      <w:r w:rsidRPr="00EC20F8">
        <w:rPr>
          <w:rFonts w:ascii="Times New Roman" w:hAnsi="Times New Roman" w:cs="Times New Roman"/>
          <w:sz w:val="28"/>
          <w:szCs w:val="28"/>
        </w:rPr>
        <w:t xml:space="preserve"> внутренний продукт (ВВП) страны вырос в 2013 году на 1,3% против роста в 3,4% в 2012 году. </w:t>
      </w:r>
      <w:proofErr w:type="gramStart"/>
      <w:r w:rsidRPr="00EC20F8">
        <w:rPr>
          <w:rFonts w:ascii="Times New Roman" w:hAnsi="Times New Roman" w:cs="Times New Roman"/>
          <w:sz w:val="28"/>
          <w:szCs w:val="28"/>
        </w:rPr>
        <w:t>По итогам 2013 года инвестиции в основной капитал Российской Федерации сократились на 0,2%, строительство – на 1,5%. В начале 2014 года негативные тренды усилились: динамика ВВП страны в 1 квартале 2014 года по отношению к соответствующему периоду предыдущего года замедлилась до 0,9% против 2% в последнем квартале 2013 года.</w:t>
      </w:r>
      <w:proofErr w:type="gramEnd"/>
      <w:r w:rsidRPr="00EC20F8">
        <w:rPr>
          <w:rFonts w:ascii="Times New Roman" w:hAnsi="Times New Roman" w:cs="Times New Roman"/>
          <w:sz w:val="28"/>
          <w:szCs w:val="28"/>
        </w:rPr>
        <w:t xml:space="preserve"> С 2015 года экономический рост в Российской Федерации несколько ускорится, однако он будет ограничен рядом инфраструктурных и институциональных ограничений. </w:t>
      </w:r>
      <w:r w:rsidRPr="00EC20F8">
        <w:rPr>
          <w:rFonts w:ascii="Times New Roman" w:hAnsi="Times New Roman" w:cs="Times New Roman"/>
          <w:bCs/>
          <w:sz w:val="28"/>
          <w:szCs w:val="28"/>
        </w:rPr>
        <w:t>Рост ВВП в 2015–2017 гг. составит 2–3,3%.</w:t>
      </w:r>
    </w:p>
    <w:p w:rsidR="00E41A45" w:rsidRPr="00EC20F8" w:rsidRDefault="00AF7F67" w:rsidP="00E41A45">
      <w:pPr>
        <w:widowControl w:val="0"/>
        <w:tabs>
          <w:tab w:val="center" w:pos="4677"/>
          <w:tab w:val="right" w:pos="9355"/>
        </w:tabs>
        <w:ind w:firstLine="709"/>
        <w:jc w:val="both"/>
        <w:rPr>
          <w:rFonts w:ascii="Times New Roman" w:eastAsia="Calibri" w:hAnsi="Times New Roman" w:cs="Times New Roman"/>
          <w:sz w:val="28"/>
          <w:szCs w:val="28"/>
        </w:rPr>
      </w:pPr>
      <w:r w:rsidRPr="00EC20F8">
        <w:rPr>
          <w:rFonts w:ascii="Times New Roman" w:hAnsi="Times New Roman" w:cs="Times New Roman"/>
          <w:sz w:val="28"/>
          <w:szCs w:val="28"/>
        </w:rPr>
        <w:t>Социально-экономическое развитие Камчатского края за отчетный период характеризуется как наличием позитивных тенденций развития, так и снижением темпов экономических показателей отдельных отраслей.</w:t>
      </w:r>
      <w:r w:rsidRPr="00EC20F8">
        <w:rPr>
          <w:rFonts w:ascii="Times New Roman" w:hAnsi="Times New Roman" w:cs="Times New Roman"/>
          <w:bCs/>
          <w:sz w:val="28"/>
          <w:szCs w:val="28"/>
        </w:rPr>
        <w:t xml:space="preserve"> </w:t>
      </w:r>
      <w:proofErr w:type="spellStart"/>
      <w:r w:rsidRPr="00EC20F8">
        <w:rPr>
          <w:rFonts w:ascii="Times New Roman" w:hAnsi="Times New Roman" w:cs="Times New Roman"/>
          <w:bCs/>
          <w:sz w:val="28"/>
          <w:szCs w:val="28"/>
        </w:rPr>
        <w:t>Валовый</w:t>
      </w:r>
      <w:proofErr w:type="spellEnd"/>
      <w:r w:rsidRPr="00EC20F8">
        <w:rPr>
          <w:rFonts w:ascii="Times New Roman" w:hAnsi="Times New Roman" w:cs="Times New Roman"/>
          <w:bCs/>
          <w:sz w:val="28"/>
          <w:szCs w:val="28"/>
        </w:rPr>
        <w:t xml:space="preserve"> региональный продукт (ВРП) края вырос по итогам 2013 года на 1,8% против прошлогоднего роста 2,2%.</w:t>
      </w:r>
      <w:r w:rsidR="00E41A45" w:rsidRPr="00EC20F8">
        <w:rPr>
          <w:rFonts w:ascii="Times New Roman" w:hAnsi="Times New Roman" w:cs="Times New Roman"/>
          <w:bCs/>
          <w:sz w:val="28"/>
          <w:szCs w:val="28"/>
        </w:rPr>
        <w:t xml:space="preserve"> </w:t>
      </w:r>
      <w:r w:rsidRPr="00EC20F8">
        <w:rPr>
          <w:rFonts w:ascii="Times New Roman" w:hAnsi="Times New Roman" w:cs="Times New Roman"/>
          <w:sz w:val="28"/>
          <w:szCs w:val="28"/>
        </w:rPr>
        <w:t>Улучшение экономической ситуации в регионе характеризовалось ростом оборота розничной торговли (100,1%), пассажирооборота (103,3 %), услуг связи (104,7 %), объемом платных услуг населению (105,2 %), объемом работ, выполненных по виду деятельности «строительство» (114,7%).</w:t>
      </w:r>
      <w:r w:rsidR="00E41A45" w:rsidRPr="00EC20F8">
        <w:rPr>
          <w:rFonts w:ascii="Times New Roman" w:hAnsi="Times New Roman" w:cs="Times New Roman"/>
          <w:sz w:val="28"/>
          <w:szCs w:val="28"/>
        </w:rPr>
        <w:t xml:space="preserve"> </w:t>
      </w:r>
      <w:r w:rsidRPr="00EC20F8">
        <w:rPr>
          <w:rFonts w:ascii="Times New Roman" w:hAnsi="Times New Roman" w:cs="Times New Roman"/>
          <w:sz w:val="28"/>
          <w:szCs w:val="28"/>
        </w:rPr>
        <w:t>Индекс потребительских цен составил 106,3 % к уровню 2012 года, что ниже уровня инфляции по Российской Федерации (106,8 %).</w:t>
      </w:r>
      <w:r w:rsidR="00E41A45" w:rsidRPr="00EC20F8">
        <w:rPr>
          <w:rFonts w:ascii="Times New Roman" w:hAnsi="Times New Roman" w:cs="Times New Roman"/>
          <w:sz w:val="28"/>
          <w:szCs w:val="28"/>
        </w:rPr>
        <w:t xml:space="preserve"> </w:t>
      </w:r>
      <w:r w:rsidR="00E41A45" w:rsidRPr="00EC20F8">
        <w:rPr>
          <w:rFonts w:ascii="Times New Roman" w:hAnsi="Times New Roman" w:cs="Times New Roman"/>
          <w:bCs/>
          <w:sz w:val="28"/>
          <w:szCs w:val="28"/>
        </w:rPr>
        <w:t>В тоже время с</w:t>
      </w:r>
      <w:r w:rsidR="00E41A45" w:rsidRPr="00EC20F8">
        <w:rPr>
          <w:rFonts w:ascii="Times New Roman" w:hAnsi="Times New Roman" w:cs="Times New Roman"/>
          <w:sz w:val="28"/>
          <w:szCs w:val="28"/>
        </w:rPr>
        <w:t>нижены</w:t>
      </w:r>
      <w:r w:rsidR="00E41A45" w:rsidRPr="00EC20F8">
        <w:rPr>
          <w:rFonts w:ascii="Times New Roman" w:hAnsi="Times New Roman" w:cs="Times New Roman"/>
          <w:bCs/>
          <w:sz w:val="28"/>
          <w:szCs w:val="28"/>
        </w:rPr>
        <w:t xml:space="preserve"> показатели</w:t>
      </w:r>
      <w:r w:rsidR="00E41A45" w:rsidRPr="00EC20F8">
        <w:rPr>
          <w:rFonts w:ascii="Times New Roman" w:hAnsi="Times New Roman" w:cs="Times New Roman"/>
          <w:sz w:val="28"/>
          <w:szCs w:val="28"/>
        </w:rPr>
        <w:t xml:space="preserve"> производства в сельском хозяйстве (97,3 %), в лесозаготовках (96,4 %), в промышленности (93,3 %), сократился объем инвестиций в основной капитал (90,0 %), грузооборот транспорта (85,7 %). </w:t>
      </w:r>
    </w:p>
    <w:p w:rsidR="00AF7F67" w:rsidRPr="00EC20F8" w:rsidRDefault="00E41A45" w:rsidP="00DF4C41">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Э</w:t>
      </w:r>
      <w:r w:rsidR="00AF7F67" w:rsidRPr="00EC20F8">
        <w:rPr>
          <w:rFonts w:ascii="Times New Roman" w:hAnsi="Times New Roman" w:cs="Times New Roman"/>
          <w:sz w:val="28"/>
          <w:szCs w:val="28"/>
        </w:rPr>
        <w:t xml:space="preserve">кономика </w:t>
      </w:r>
      <w:proofErr w:type="gramStart"/>
      <w:r w:rsidRPr="00EC20F8">
        <w:rPr>
          <w:rFonts w:ascii="Times New Roman" w:hAnsi="Times New Roman" w:cs="Times New Roman"/>
          <w:sz w:val="28"/>
          <w:szCs w:val="28"/>
        </w:rPr>
        <w:t>Петропавловск-Камчатского</w:t>
      </w:r>
      <w:proofErr w:type="gramEnd"/>
      <w:r w:rsidRPr="00EC20F8">
        <w:rPr>
          <w:rFonts w:ascii="Times New Roman" w:hAnsi="Times New Roman" w:cs="Times New Roman"/>
          <w:sz w:val="28"/>
          <w:szCs w:val="28"/>
        </w:rPr>
        <w:t xml:space="preserve"> городского округа </w:t>
      </w:r>
      <w:r w:rsidR="00AF7F67" w:rsidRPr="00EC20F8">
        <w:rPr>
          <w:rFonts w:ascii="Times New Roman" w:hAnsi="Times New Roman" w:cs="Times New Roman"/>
          <w:sz w:val="28"/>
          <w:szCs w:val="28"/>
        </w:rPr>
        <w:t xml:space="preserve">подвержена тенденциям развития экономики </w:t>
      </w:r>
      <w:r w:rsidR="00842B42" w:rsidRPr="00EC20F8">
        <w:rPr>
          <w:rFonts w:ascii="Times New Roman" w:hAnsi="Times New Roman" w:cs="Times New Roman"/>
          <w:sz w:val="28"/>
          <w:szCs w:val="28"/>
        </w:rPr>
        <w:t>Камчатского края</w:t>
      </w:r>
      <w:r w:rsidR="00AF7F67" w:rsidRPr="00EC20F8">
        <w:rPr>
          <w:rFonts w:ascii="Times New Roman" w:hAnsi="Times New Roman" w:cs="Times New Roman"/>
          <w:sz w:val="28"/>
          <w:szCs w:val="28"/>
        </w:rPr>
        <w:t xml:space="preserve">. </w:t>
      </w:r>
      <w:proofErr w:type="gramStart"/>
      <w:r w:rsidR="00AF7F67" w:rsidRPr="00EC20F8">
        <w:rPr>
          <w:rFonts w:ascii="Times New Roman" w:hAnsi="Times New Roman" w:cs="Times New Roman"/>
          <w:sz w:val="28"/>
          <w:szCs w:val="28"/>
        </w:rPr>
        <w:t>Индекс промышленного производства по итогам 2013 года показал отрицательную динамику</w:t>
      </w:r>
      <w:r w:rsidRPr="00EC20F8">
        <w:rPr>
          <w:rFonts w:ascii="Times New Roman" w:hAnsi="Times New Roman" w:cs="Times New Roman"/>
          <w:sz w:val="28"/>
          <w:szCs w:val="28"/>
        </w:rPr>
        <w:t xml:space="preserve"> </w:t>
      </w:r>
      <w:r w:rsidR="00AF7F67" w:rsidRPr="00EC20F8">
        <w:rPr>
          <w:rFonts w:ascii="Times New Roman" w:hAnsi="Times New Roman" w:cs="Times New Roman"/>
          <w:sz w:val="28"/>
          <w:szCs w:val="28"/>
        </w:rPr>
        <w:t>роста</w:t>
      </w:r>
      <w:r w:rsidRPr="00EC20F8">
        <w:rPr>
          <w:rFonts w:ascii="Times New Roman" w:hAnsi="Times New Roman" w:cs="Times New Roman"/>
          <w:sz w:val="28"/>
          <w:szCs w:val="28"/>
        </w:rPr>
        <w:t xml:space="preserve"> </w:t>
      </w:r>
      <w:r w:rsidR="00842B42" w:rsidRPr="00EC20F8">
        <w:rPr>
          <w:rFonts w:ascii="Times New Roman" w:hAnsi="Times New Roman" w:cs="Times New Roman"/>
          <w:sz w:val="28"/>
          <w:szCs w:val="28"/>
        </w:rPr>
        <w:t xml:space="preserve">               </w:t>
      </w:r>
      <w:r w:rsidR="00AF7F67" w:rsidRPr="00EC20F8">
        <w:rPr>
          <w:rFonts w:ascii="Times New Roman" w:hAnsi="Times New Roman" w:cs="Times New Roman"/>
          <w:sz w:val="28"/>
          <w:szCs w:val="28"/>
        </w:rPr>
        <w:t>(-</w:t>
      </w:r>
      <w:r w:rsidRPr="00EC20F8">
        <w:rPr>
          <w:rFonts w:ascii="Times New Roman" w:hAnsi="Times New Roman" w:cs="Times New Roman"/>
          <w:sz w:val="28"/>
          <w:szCs w:val="28"/>
        </w:rPr>
        <w:t xml:space="preserve">2,9 </w:t>
      </w:r>
      <w:r w:rsidR="004C268B" w:rsidRPr="00EC20F8">
        <w:rPr>
          <w:rFonts w:ascii="Times New Roman" w:hAnsi="Times New Roman" w:cs="Times New Roman"/>
          <w:sz w:val="28"/>
          <w:szCs w:val="28"/>
        </w:rPr>
        <w:t>%),</w:t>
      </w:r>
      <w:r w:rsidR="00AF7F67" w:rsidRPr="00EC20F8">
        <w:rPr>
          <w:rFonts w:ascii="Times New Roman" w:hAnsi="Times New Roman" w:cs="Times New Roman"/>
          <w:sz w:val="28"/>
          <w:szCs w:val="28"/>
        </w:rPr>
        <w:t xml:space="preserve"> </w:t>
      </w:r>
      <w:r w:rsidR="004C268B" w:rsidRPr="00EC20F8">
        <w:rPr>
          <w:rFonts w:ascii="Times New Roman" w:hAnsi="Times New Roman" w:cs="Times New Roman"/>
          <w:sz w:val="28"/>
          <w:szCs w:val="28"/>
        </w:rPr>
        <w:t>и</w:t>
      </w:r>
      <w:r w:rsidRPr="00EC20F8">
        <w:rPr>
          <w:rFonts w:ascii="Times New Roman" w:hAnsi="Times New Roman" w:cs="Times New Roman"/>
          <w:sz w:val="28"/>
          <w:szCs w:val="28"/>
        </w:rPr>
        <w:t xml:space="preserve">нвестиции в основной капитал сократились на </w:t>
      </w:r>
      <w:r w:rsidR="004C268B" w:rsidRPr="00EC20F8">
        <w:rPr>
          <w:rFonts w:ascii="Times New Roman" w:hAnsi="Times New Roman" w:cs="Times New Roman"/>
          <w:sz w:val="28"/>
          <w:szCs w:val="28"/>
        </w:rPr>
        <w:t>18,1%.</w:t>
      </w:r>
      <w:r w:rsidRPr="00EC20F8">
        <w:rPr>
          <w:rFonts w:ascii="Times New Roman" w:hAnsi="Times New Roman" w:cs="Times New Roman"/>
          <w:sz w:val="28"/>
          <w:szCs w:val="28"/>
        </w:rPr>
        <w:t xml:space="preserve"> </w:t>
      </w:r>
      <w:r w:rsidR="00DF4C41" w:rsidRPr="00EC20F8">
        <w:rPr>
          <w:rFonts w:ascii="Times New Roman" w:hAnsi="Times New Roman" w:cs="Times New Roman"/>
          <w:sz w:val="28"/>
          <w:szCs w:val="28"/>
        </w:rPr>
        <w:t xml:space="preserve">Вырос объем строительных работ </w:t>
      </w:r>
      <w:r w:rsidR="002F78BE" w:rsidRPr="00EC20F8">
        <w:rPr>
          <w:rFonts w:ascii="Times New Roman" w:hAnsi="Times New Roman" w:cs="Times New Roman"/>
          <w:sz w:val="28"/>
          <w:szCs w:val="28"/>
        </w:rPr>
        <w:t>(109,6 %), сохранили рост показатели оборота розничной торговли (100,8 %), объема платных услуг населению (</w:t>
      </w:r>
      <w:r w:rsidR="00842B42" w:rsidRPr="00EC20F8">
        <w:rPr>
          <w:rFonts w:ascii="Times New Roman" w:hAnsi="Times New Roman" w:cs="Times New Roman"/>
          <w:sz w:val="28"/>
          <w:szCs w:val="28"/>
        </w:rPr>
        <w:t>104,0 %), сохранилась тенденция роста среднемесячной заработной платы (номинально</w:t>
      </w:r>
      <w:r w:rsidR="00DF4C41" w:rsidRPr="00EC20F8">
        <w:rPr>
          <w:rFonts w:ascii="Times New Roman" w:hAnsi="Times New Roman" w:cs="Times New Roman"/>
          <w:sz w:val="28"/>
          <w:szCs w:val="28"/>
        </w:rPr>
        <w:t xml:space="preserve"> на </w:t>
      </w:r>
      <w:r w:rsidR="00842B42" w:rsidRPr="00EC20F8">
        <w:rPr>
          <w:rFonts w:ascii="Times New Roman" w:hAnsi="Times New Roman" w:cs="Times New Roman"/>
          <w:sz w:val="28"/>
          <w:szCs w:val="28"/>
        </w:rPr>
        <w:t>112,1 %, реально</w:t>
      </w:r>
      <w:r w:rsidR="00DF4C41" w:rsidRPr="00EC20F8">
        <w:rPr>
          <w:rFonts w:ascii="Times New Roman" w:hAnsi="Times New Roman" w:cs="Times New Roman"/>
          <w:sz w:val="28"/>
          <w:szCs w:val="28"/>
        </w:rPr>
        <w:t xml:space="preserve"> -</w:t>
      </w:r>
      <w:r w:rsidR="00842B42" w:rsidRPr="00EC20F8">
        <w:rPr>
          <w:rFonts w:ascii="Times New Roman" w:hAnsi="Times New Roman" w:cs="Times New Roman"/>
          <w:sz w:val="28"/>
          <w:szCs w:val="28"/>
        </w:rPr>
        <w:t xml:space="preserve"> 105,5 %).</w:t>
      </w:r>
      <w:proofErr w:type="gramEnd"/>
      <w:r w:rsidR="00DF4C41" w:rsidRPr="00EC20F8">
        <w:rPr>
          <w:rFonts w:ascii="Times New Roman" w:hAnsi="Times New Roman" w:cs="Times New Roman"/>
          <w:sz w:val="28"/>
          <w:szCs w:val="28"/>
        </w:rPr>
        <w:t xml:space="preserve"> </w:t>
      </w:r>
      <w:r w:rsidR="00AF7F67" w:rsidRPr="00EC20F8">
        <w:rPr>
          <w:rFonts w:ascii="Times New Roman" w:hAnsi="Times New Roman" w:cs="Times New Roman"/>
          <w:sz w:val="28"/>
          <w:szCs w:val="28"/>
        </w:rPr>
        <w:t xml:space="preserve">Динамика ряда показателей начала 2014 года сохраняет позитивные тенденции. Возобновился рост отраслей промышленности, продолжается рост объемов розничной торговли, среднемесячной заработной платы. Ситуация на рынке труда </w:t>
      </w:r>
      <w:r w:rsidR="00DF4C41" w:rsidRPr="00EC20F8">
        <w:rPr>
          <w:rFonts w:ascii="Times New Roman" w:hAnsi="Times New Roman" w:cs="Times New Roman"/>
          <w:sz w:val="28"/>
          <w:szCs w:val="28"/>
        </w:rPr>
        <w:t xml:space="preserve">городского округа </w:t>
      </w:r>
      <w:r w:rsidR="00AF7F67" w:rsidRPr="00EC20F8">
        <w:rPr>
          <w:rFonts w:ascii="Times New Roman" w:hAnsi="Times New Roman" w:cs="Times New Roman"/>
          <w:sz w:val="28"/>
          <w:szCs w:val="28"/>
        </w:rPr>
        <w:t xml:space="preserve">остается позитивной. </w:t>
      </w:r>
    </w:p>
    <w:p w:rsidR="0014344F" w:rsidRPr="00EC20F8" w:rsidRDefault="0014344F" w:rsidP="0014344F">
      <w:pPr>
        <w:pStyle w:val="1"/>
        <w:spacing w:before="240" w:after="240"/>
      </w:pPr>
      <w:bookmarkStart w:id="22" w:name="_Toc400529658"/>
      <w:r w:rsidRPr="00EC20F8">
        <w:t>3. Промышленность</w:t>
      </w:r>
      <w:bookmarkEnd w:id="21"/>
      <w:bookmarkEnd w:id="22"/>
    </w:p>
    <w:p w:rsidR="0014344F" w:rsidRPr="00EC20F8" w:rsidRDefault="0014344F" w:rsidP="0014344F">
      <w:pPr>
        <w:widowControl w:val="0"/>
        <w:ind w:firstLine="709"/>
        <w:jc w:val="both"/>
        <w:rPr>
          <w:rFonts w:ascii="Times New Roman" w:eastAsia="Calibri" w:hAnsi="Times New Roman" w:cs="Times New Roman"/>
          <w:sz w:val="28"/>
          <w:szCs w:val="28"/>
        </w:rPr>
      </w:pPr>
      <w:r w:rsidRPr="00EC20F8">
        <w:rPr>
          <w:rFonts w:ascii="Times New Roman" w:hAnsi="Times New Roman" w:cs="Times New Roman"/>
          <w:sz w:val="28"/>
          <w:szCs w:val="28"/>
        </w:rPr>
        <w:t xml:space="preserve">В 2013 году индекс промышленного производства составил 97,1 %. Снижение </w:t>
      </w:r>
      <w:r w:rsidRPr="00EC20F8">
        <w:rPr>
          <w:rFonts w:ascii="Times New Roman" w:eastAsia="Calibri" w:hAnsi="Times New Roman" w:cs="Times New Roman"/>
          <w:sz w:val="28"/>
          <w:szCs w:val="28"/>
        </w:rPr>
        <w:t xml:space="preserve">промышленного производства обусловлено снижением производства пищевых продуктов, основу которого составляет </w:t>
      </w:r>
      <w:proofErr w:type="spellStart"/>
      <w:r w:rsidRPr="00EC20F8">
        <w:rPr>
          <w:rFonts w:ascii="Times New Roman" w:eastAsia="Calibri" w:hAnsi="Times New Roman" w:cs="Times New Roman"/>
          <w:sz w:val="28"/>
          <w:szCs w:val="28"/>
        </w:rPr>
        <w:t>рыбоперерабатывающая</w:t>
      </w:r>
      <w:proofErr w:type="spellEnd"/>
      <w:r w:rsidRPr="00EC20F8">
        <w:rPr>
          <w:rFonts w:ascii="Times New Roman" w:eastAsia="Calibri" w:hAnsi="Times New Roman" w:cs="Times New Roman"/>
          <w:sz w:val="28"/>
          <w:szCs w:val="28"/>
        </w:rPr>
        <w:t xml:space="preserve"> промышленность, индекс производства которой составил 94,1</w:t>
      </w:r>
      <w:r w:rsidR="00511BAE" w:rsidRPr="00EC20F8">
        <w:rPr>
          <w:rFonts w:ascii="Times New Roman" w:eastAsia="Calibri" w:hAnsi="Times New Roman" w:cs="Times New Roman"/>
          <w:sz w:val="28"/>
          <w:szCs w:val="28"/>
        </w:rPr>
        <w:t xml:space="preserve"> </w:t>
      </w:r>
      <w:r w:rsidRPr="00EC20F8">
        <w:rPr>
          <w:rFonts w:ascii="Times New Roman" w:eastAsia="Calibri" w:hAnsi="Times New Roman" w:cs="Times New Roman"/>
          <w:sz w:val="28"/>
          <w:szCs w:val="28"/>
        </w:rPr>
        <w:t>% .</w:t>
      </w:r>
    </w:p>
    <w:p w:rsidR="0014344F" w:rsidRPr="00EC20F8" w:rsidRDefault="0014344F" w:rsidP="0014344F">
      <w:pPr>
        <w:ind w:firstLine="709"/>
        <w:jc w:val="both"/>
        <w:rPr>
          <w:rFonts w:ascii="Times New Roman" w:eastAsia="Times New Roman" w:hAnsi="Times New Roman" w:cs="Times New Roman"/>
          <w:sz w:val="28"/>
          <w:szCs w:val="28"/>
          <w:lang w:eastAsia="ru-RU"/>
        </w:rPr>
      </w:pPr>
      <w:r w:rsidRPr="00EC20F8">
        <w:rPr>
          <w:rFonts w:ascii="Times New Roman" w:hAnsi="Times New Roman" w:cs="Times New Roman"/>
          <w:sz w:val="28"/>
          <w:szCs w:val="28"/>
        </w:rPr>
        <w:t>В 2013 году промышленными предприятиями городского округа произвед</w:t>
      </w:r>
      <w:r w:rsidR="00511BAE" w:rsidRPr="00EC20F8">
        <w:rPr>
          <w:rFonts w:ascii="Times New Roman" w:hAnsi="Times New Roman" w:cs="Times New Roman"/>
          <w:sz w:val="28"/>
          <w:szCs w:val="28"/>
        </w:rPr>
        <w:t xml:space="preserve">ено продукции </w:t>
      </w:r>
      <w:r w:rsidRPr="00EC20F8">
        <w:rPr>
          <w:rFonts w:ascii="Times New Roman" w:hAnsi="Times New Roman" w:cs="Times New Roman"/>
          <w:sz w:val="28"/>
          <w:szCs w:val="28"/>
        </w:rPr>
        <w:t xml:space="preserve">на сумму </w:t>
      </w:r>
      <w:r w:rsidRPr="00EC20F8">
        <w:rPr>
          <w:rFonts w:ascii="Times New Roman" w:eastAsia="Times New Roman" w:hAnsi="Times New Roman" w:cs="Times New Roman"/>
          <w:sz w:val="28"/>
          <w:szCs w:val="28"/>
          <w:lang w:eastAsia="ru-RU"/>
        </w:rPr>
        <w:t xml:space="preserve">33 693,0 </w:t>
      </w:r>
      <w:proofErr w:type="spellStart"/>
      <w:proofErr w:type="gramStart"/>
      <w:r w:rsidRPr="00EC20F8">
        <w:rPr>
          <w:rFonts w:ascii="Times New Roman" w:eastAsia="Times New Roman" w:hAnsi="Times New Roman" w:cs="Times New Roman"/>
          <w:sz w:val="28"/>
          <w:szCs w:val="28"/>
          <w:lang w:eastAsia="ru-RU"/>
        </w:rPr>
        <w:t>млн</w:t>
      </w:r>
      <w:proofErr w:type="spellEnd"/>
      <w:proofErr w:type="gramEnd"/>
      <w:r w:rsidRPr="00EC20F8">
        <w:rPr>
          <w:rFonts w:ascii="Times New Roman" w:eastAsia="Times New Roman" w:hAnsi="Times New Roman" w:cs="Times New Roman"/>
          <w:sz w:val="28"/>
          <w:szCs w:val="28"/>
          <w:lang w:eastAsia="ru-RU"/>
        </w:rPr>
        <w:t xml:space="preserve"> рублей, и</w:t>
      </w:r>
      <w:r w:rsidR="00511BAE" w:rsidRPr="00EC20F8">
        <w:rPr>
          <w:rFonts w:ascii="Times New Roman" w:eastAsia="Times New Roman" w:hAnsi="Times New Roman" w:cs="Times New Roman"/>
          <w:sz w:val="28"/>
          <w:szCs w:val="28"/>
          <w:lang w:eastAsia="ru-RU"/>
        </w:rPr>
        <w:t xml:space="preserve">ли 99,88 % к уровню 2012 года. </w:t>
      </w:r>
      <w:r w:rsidRPr="00EC20F8">
        <w:rPr>
          <w:rFonts w:ascii="Times New Roman" w:eastAsia="Times New Roman" w:hAnsi="Times New Roman" w:cs="Times New Roman"/>
          <w:sz w:val="28"/>
          <w:szCs w:val="28"/>
          <w:lang w:eastAsia="ru-RU"/>
        </w:rPr>
        <w:t>Доля объема промышленной продукции городского округа в общем объеме производства  Камчатского края составила 57,5 %.</w:t>
      </w:r>
    </w:p>
    <w:p w:rsidR="0064745D" w:rsidRPr="00EC20F8" w:rsidRDefault="0014344F" w:rsidP="0014344F">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Промышленность городского округа имеет традиционно сложившуюся отраслевую структуру: обрабатывающие производства, добыча полезных ископаемых, производство и распределение электроэнергии, газа и воды. 73,8% промышленного производства приходится на обрабатывающие производства (рисунок 3.1.).      </w:t>
      </w:r>
    </w:p>
    <w:p w:rsidR="0064745D" w:rsidRPr="00EC20F8" w:rsidRDefault="0064745D" w:rsidP="00305922">
      <w:pPr>
        <w:spacing w:line="240" w:lineRule="auto"/>
        <w:ind w:firstLine="709"/>
        <w:jc w:val="center"/>
        <w:rPr>
          <w:rFonts w:ascii="Times New Roman" w:hAnsi="Times New Roman" w:cs="Times New Roman"/>
          <w:sz w:val="28"/>
          <w:szCs w:val="28"/>
        </w:rPr>
      </w:pPr>
      <w:r w:rsidRPr="00EC20F8">
        <w:rPr>
          <w:rFonts w:ascii="Times New Roman" w:hAnsi="Times New Roman" w:cs="Times New Roman"/>
          <w:noProof/>
          <w:sz w:val="28"/>
          <w:szCs w:val="28"/>
          <w:bdr w:val="single" w:sz="4" w:space="0" w:color="auto"/>
          <w:lang w:eastAsia="ru-RU"/>
        </w:rPr>
        <w:drawing>
          <wp:inline distT="0" distB="0" distL="0" distR="0">
            <wp:extent cx="4552950" cy="187642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4745D" w:rsidRPr="00EC20F8" w:rsidRDefault="0064745D" w:rsidP="00305922">
      <w:pPr>
        <w:spacing w:before="120" w:line="240" w:lineRule="auto"/>
        <w:ind w:firstLine="709"/>
        <w:jc w:val="center"/>
        <w:rPr>
          <w:rFonts w:ascii="Times New Roman" w:hAnsi="Times New Roman" w:cs="Times New Roman"/>
          <w:i/>
          <w:sz w:val="24"/>
          <w:szCs w:val="24"/>
        </w:rPr>
      </w:pPr>
      <w:r w:rsidRPr="00EC20F8">
        <w:rPr>
          <w:rFonts w:ascii="Times New Roman" w:hAnsi="Times New Roman" w:cs="Times New Roman"/>
          <w:i/>
          <w:sz w:val="24"/>
          <w:szCs w:val="24"/>
        </w:rPr>
        <w:t>Рис. 3.1.Структура промышленного производства</w:t>
      </w:r>
    </w:p>
    <w:p w:rsidR="0064745D" w:rsidRPr="00EC20F8" w:rsidRDefault="0064745D" w:rsidP="00305922">
      <w:pPr>
        <w:spacing w:line="240" w:lineRule="auto"/>
        <w:ind w:firstLine="709"/>
        <w:jc w:val="center"/>
        <w:rPr>
          <w:rFonts w:ascii="Times New Roman" w:eastAsia="Times New Roman" w:hAnsi="Times New Roman" w:cs="Times New Roman"/>
          <w:i/>
          <w:sz w:val="24"/>
          <w:szCs w:val="24"/>
          <w:lang w:eastAsia="ru-RU"/>
        </w:rPr>
      </w:pPr>
      <w:proofErr w:type="gramStart"/>
      <w:r w:rsidRPr="00EC20F8">
        <w:rPr>
          <w:rFonts w:ascii="Times New Roman" w:eastAsia="Times New Roman" w:hAnsi="Times New Roman" w:cs="Times New Roman"/>
          <w:i/>
          <w:sz w:val="24"/>
          <w:szCs w:val="24"/>
          <w:lang w:eastAsia="ru-RU"/>
        </w:rPr>
        <w:t>Петропавловск-Камчатского</w:t>
      </w:r>
      <w:proofErr w:type="gramEnd"/>
      <w:r w:rsidRPr="00EC20F8">
        <w:rPr>
          <w:rFonts w:ascii="Times New Roman" w:eastAsia="Times New Roman" w:hAnsi="Times New Roman" w:cs="Times New Roman"/>
          <w:i/>
          <w:sz w:val="24"/>
          <w:szCs w:val="24"/>
          <w:lang w:eastAsia="ru-RU"/>
        </w:rPr>
        <w:t xml:space="preserve"> городского округа в 2013 году</w:t>
      </w:r>
    </w:p>
    <w:p w:rsidR="0014344F" w:rsidRPr="00EC20F8" w:rsidRDefault="0014344F" w:rsidP="0014344F">
      <w:pPr>
        <w:spacing w:line="240" w:lineRule="auto"/>
        <w:ind w:firstLine="709"/>
        <w:jc w:val="both"/>
        <w:rPr>
          <w:rFonts w:ascii="Times New Roman" w:hAnsi="Times New Roman" w:cs="Times New Roman"/>
          <w:sz w:val="12"/>
          <w:szCs w:val="12"/>
        </w:rPr>
      </w:pPr>
      <w:r w:rsidRPr="00EC20F8">
        <w:rPr>
          <w:rFonts w:ascii="Times New Roman" w:hAnsi="Times New Roman" w:cs="Times New Roman"/>
          <w:sz w:val="12"/>
          <w:szCs w:val="12"/>
        </w:rPr>
        <w:t xml:space="preserve">                                                                                         </w:t>
      </w:r>
    </w:p>
    <w:p w:rsidR="00F919F8" w:rsidRPr="00EC20F8" w:rsidRDefault="0014344F" w:rsidP="00F919F8">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Предприятиями, осуществляющими добычу полезных ископаемых, в 2013 году отгружено продукции на 114,7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(11</w:t>
      </w:r>
      <w:r w:rsidR="00511BAE" w:rsidRPr="00EC20F8">
        <w:rPr>
          <w:rFonts w:ascii="Times New Roman" w:hAnsi="Times New Roman" w:cs="Times New Roman"/>
          <w:sz w:val="28"/>
          <w:szCs w:val="28"/>
        </w:rPr>
        <w:t xml:space="preserve">8,5 % </w:t>
      </w:r>
      <w:r w:rsidRPr="00EC20F8">
        <w:rPr>
          <w:rFonts w:ascii="Times New Roman" w:hAnsi="Times New Roman" w:cs="Times New Roman"/>
          <w:sz w:val="28"/>
          <w:szCs w:val="28"/>
        </w:rPr>
        <w:t>к</w:t>
      </w:r>
      <w:r w:rsidRPr="00EC20F8">
        <w:rPr>
          <w:rFonts w:ascii="Times New Roman" w:eastAsia="Times New Roman" w:hAnsi="Times New Roman" w:cs="Times New Roman"/>
          <w:sz w:val="28"/>
          <w:szCs w:val="28"/>
          <w:lang w:eastAsia="ru-RU"/>
        </w:rPr>
        <w:t xml:space="preserve"> уровню 2012 года в действующих ценах). </w:t>
      </w:r>
      <w:proofErr w:type="gramStart"/>
      <w:r w:rsidRPr="00EC20F8">
        <w:rPr>
          <w:rFonts w:ascii="Times New Roman" w:eastAsia="Times New Roman" w:hAnsi="Times New Roman" w:cs="Times New Roman"/>
          <w:sz w:val="28"/>
          <w:szCs w:val="28"/>
          <w:lang w:eastAsia="ru-RU"/>
        </w:rPr>
        <w:t>Индекс промышленного производства составил 118,4 %).</w:t>
      </w:r>
      <w:proofErr w:type="gramEnd"/>
      <w:r w:rsidR="00F919F8" w:rsidRPr="00EC20F8">
        <w:rPr>
          <w:rFonts w:ascii="Times New Roman" w:hAnsi="Times New Roman" w:cs="Times New Roman"/>
          <w:sz w:val="28"/>
          <w:szCs w:val="28"/>
        </w:rPr>
        <w:t xml:space="preserve"> </w:t>
      </w:r>
      <w:proofErr w:type="gramStart"/>
      <w:r w:rsidRPr="00EC20F8">
        <w:rPr>
          <w:rFonts w:ascii="Times New Roman" w:hAnsi="Times New Roman" w:cs="Times New Roman"/>
          <w:sz w:val="28"/>
          <w:szCs w:val="28"/>
        </w:rPr>
        <w:t xml:space="preserve">Основной объем добычи полезных ископаемых составляют </w:t>
      </w:r>
      <w:r w:rsidR="00976E57" w:rsidRPr="00EC20F8">
        <w:rPr>
          <w:rFonts w:ascii="Times New Roman" w:hAnsi="Times New Roman" w:cs="Times New Roman"/>
          <w:sz w:val="28"/>
          <w:szCs w:val="28"/>
        </w:rPr>
        <w:t xml:space="preserve">нерудные строительные материалы, </w:t>
      </w:r>
      <w:r w:rsidRPr="00EC20F8">
        <w:rPr>
          <w:rFonts w:ascii="Times New Roman" w:hAnsi="Times New Roman" w:cs="Times New Roman"/>
          <w:sz w:val="28"/>
          <w:szCs w:val="28"/>
        </w:rPr>
        <w:t xml:space="preserve">добыча которых </w:t>
      </w:r>
      <w:r w:rsidR="00976E57" w:rsidRPr="00EC20F8">
        <w:rPr>
          <w:rFonts w:ascii="Times New Roman" w:hAnsi="Times New Roman" w:cs="Times New Roman"/>
          <w:sz w:val="28"/>
          <w:szCs w:val="28"/>
        </w:rPr>
        <w:t xml:space="preserve">в 2013 году увеличилась и </w:t>
      </w:r>
      <w:r w:rsidRPr="00EC20F8">
        <w:rPr>
          <w:rFonts w:ascii="Times New Roman" w:hAnsi="Times New Roman" w:cs="Times New Roman"/>
          <w:sz w:val="28"/>
          <w:szCs w:val="28"/>
        </w:rPr>
        <w:t xml:space="preserve">составила 274,2 тысячи кубических метров против 238,4 тысяч кубических метров в 2012 году: добыто песка природного </w:t>
      </w:r>
      <w:r w:rsidR="00511BAE" w:rsidRPr="00EC20F8">
        <w:rPr>
          <w:rFonts w:ascii="Times New Roman" w:hAnsi="Times New Roman" w:cs="Times New Roman"/>
          <w:sz w:val="28"/>
          <w:szCs w:val="28"/>
        </w:rPr>
        <w:t xml:space="preserve">147,1 тысяч кубических метров; </w:t>
      </w:r>
      <w:r w:rsidRPr="00EC20F8">
        <w:rPr>
          <w:rFonts w:ascii="Times New Roman" w:hAnsi="Times New Roman" w:cs="Times New Roman"/>
          <w:sz w:val="28"/>
          <w:szCs w:val="28"/>
        </w:rPr>
        <w:t>гальки, гравия и щебня - 73,0 тысячи кубических метров).</w:t>
      </w:r>
      <w:proofErr w:type="gramEnd"/>
      <w:r w:rsidR="00F919F8" w:rsidRPr="00EC20F8">
        <w:rPr>
          <w:rFonts w:ascii="Times New Roman" w:hAnsi="Times New Roman" w:cs="Times New Roman"/>
          <w:sz w:val="28"/>
          <w:szCs w:val="28"/>
        </w:rPr>
        <w:t xml:space="preserve"> Увеличение добычи вызвано повышением спроса на объектах строительства, в том числе в рамках реализации мероприятий государственных и муниципальных программ.</w:t>
      </w:r>
    </w:p>
    <w:p w:rsidR="0014344F" w:rsidRPr="00EC20F8" w:rsidRDefault="0014344F" w:rsidP="0014344F">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По состоянию на 01.01.2014 на учете в составе Статистического регистра территориального органа федеральной службы государственной статистики по Камчатскому краю (далее – </w:t>
      </w:r>
      <w:proofErr w:type="spellStart"/>
      <w:r w:rsidRPr="00EC20F8">
        <w:rPr>
          <w:rFonts w:ascii="Times New Roman" w:hAnsi="Times New Roman" w:cs="Times New Roman"/>
          <w:sz w:val="28"/>
          <w:szCs w:val="28"/>
        </w:rPr>
        <w:t>Статрегистр</w:t>
      </w:r>
      <w:proofErr w:type="spellEnd"/>
      <w:r w:rsidRPr="00EC20F8">
        <w:rPr>
          <w:rFonts w:ascii="Times New Roman" w:hAnsi="Times New Roman" w:cs="Times New Roman"/>
          <w:sz w:val="28"/>
          <w:szCs w:val="28"/>
        </w:rPr>
        <w:t xml:space="preserve">) зарегистрировано 34 крупных и средних предприятия по добыче полезных ископаемых, </w:t>
      </w:r>
      <w:proofErr w:type="gramStart"/>
      <w:r w:rsidRPr="00EC20F8">
        <w:rPr>
          <w:rFonts w:ascii="Times New Roman" w:hAnsi="Times New Roman" w:cs="Times New Roman"/>
          <w:sz w:val="28"/>
          <w:szCs w:val="28"/>
        </w:rPr>
        <w:t>кроме</w:t>
      </w:r>
      <w:proofErr w:type="gramEnd"/>
      <w:r w:rsidRPr="00EC20F8">
        <w:rPr>
          <w:rFonts w:ascii="Times New Roman" w:hAnsi="Times New Roman" w:cs="Times New Roman"/>
          <w:sz w:val="28"/>
          <w:szCs w:val="28"/>
        </w:rPr>
        <w:t xml:space="preserve"> топливно-энергетических. Среднегодовая численность работников предприятий составила 95 человек (87,4 % к показателю 2012 года), среднемесячная номинальная начисленная заработная плата – 187 197 рублей (166,1 % к уровню 2012 года).</w:t>
      </w:r>
    </w:p>
    <w:p w:rsidR="00BB70BE" w:rsidRPr="00EC20F8" w:rsidRDefault="00BB70BE" w:rsidP="00BB70BE">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Сальдированный финансовый результат крупных и средних организаций по добычи полезных ископаемых в 2013 го</w:t>
      </w:r>
      <w:r w:rsidR="00511BAE" w:rsidRPr="00EC20F8">
        <w:rPr>
          <w:rFonts w:ascii="Times New Roman" w:hAnsi="Times New Roman" w:cs="Times New Roman"/>
          <w:sz w:val="28"/>
          <w:szCs w:val="28"/>
        </w:rPr>
        <w:t xml:space="preserve">ду составил </w:t>
      </w:r>
      <w:r w:rsidRPr="00EC20F8">
        <w:rPr>
          <w:rFonts w:ascii="Times New Roman" w:hAnsi="Times New Roman" w:cs="Times New Roman"/>
          <w:sz w:val="28"/>
          <w:szCs w:val="28"/>
        </w:rPr>
        <w:t xml:space="preserve">минус 174,8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(2011 году – 684,5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2012 году – 1 207,0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Удельный вес убыточных организаций по добычи полезных ископаемых составил </w:t>
      </w:r>
      <w:r w:rsidR="003941C6" w:rsidRPr="00EC20F8">
        <w:rPr>
          <w:rFonts w:ascii="Times New Roman" w:hAnsi="Times New Roman" w:cs="Times New Roman"/>
          <w:sz w:val="28"/>
          <w:szCs w:val="28"/>
        </w:rPr>
        <w:t>50,0 %</w:t>
      </w:r>
      <w:r w:rsidRPr="00EC20F8">
        <w:rPr>
          <w:rFonts w:ascii="Times New Roman" w:hAnsi="Times New Roman" w:cs="Times New Roman"/>
          <w:sz w:val="28"/>
          <w:szCs w:val="28"/>
        </w:rPr>
        <w:t xml:space="preserve">.  </w:t>
      </w:r>
    </w:p>
    <w:p w:rsidR="0014344F" w:rsidRPr="00EC20F8" w:rsidRDefault="0014344F" w:rsidP="0014344F">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Объем отгруженных товаров собственного производства, выполненных работ и услуг собственными силами по виду деятельности «Добыча полезных ископаемых», по оценке, в 2014 году сложится в </w:t>
      </w:r>
      <w:r w:rsidR="00F87115" w:rsidRPr="00EC20F8">
        <w:rPr>
          <w:rFonts w:ascii="Times New Roman" w:hAnsi="Times New Roman" w:cs="Times New Roman"/>
          <w:sz w:val="28"/>
          <w:szCs w:val="28"/>
        </w:rPr>
        <w:t>123,3</w:t>
      </w:r>
      <w:r w:rsidRPr="00EC20F8">
        <w:rPr>
          <w:rFonts w:ascii="Times New Roman" w:hAnsi="Times New Roman" w:cs="Times New Roman"/>
          <w:sz w:val="28"/>
          <w:szCs w:val="28"/>
        </w:rPr>
        <w:t xml:space="preserve">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Индекс производства составит 104,1 %.</w:t>
      </w:r>
    </w:p>
    <w:p w:rsidR="0014344F" w:rsidRPr="00EC20F8" w:rsidRDefault="0014344F" w:rsidP="0014344F">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Общий объем добычи нерудных строительных материалов полностью зависит от спроса потребителей. Рост отрасли в среднесрочном периоде должны обеспечить объемы строительства и </w:t>
      </w:r>
      <w:proofErr w:type="spellStart"/>
      <w:r w:rsidRPr="00EC20F8">
        <w:rPr>
          <w:rFonts w:ascii="Times New Roman" w:hAnsi="Times New Roman" w:cs="Times New Roman"/>
          <w:sz w:val="28"/>
          <w:szCs w:val="28"/>
        </w:rPr>
        <w:t>сейсмоусиления</w:t>
      </w:r>
      <w:proofErr w:type="spellEnd"/>
      <w:r w:rsidRPr="00EC20F8">
        <w:t xml:space="preserve"> </w:t>
      </w:r>
      <w:r w:rsidRPr="00EC20F8">
        <w:rPr>
          <w:rFonts w:ascii="Times New Roman" w:hAnsi="Times New Roman" w:cs="Times New Roman"/>
          <w:sz w:val="28"/>
          <w:szCs w:val="28"/>
        </w:rPr>
        <w:t xml:space="preserve"> жилищного фонда, реализация мероприятий по ремонту, строительству и реконструкции дорожной сети</w:t>
      </w:r>
      <w:r w:rsidR="00305922" w:rsidRPr="00EC20F8">
        <w:rPr>
          <w:rFonts w:ascii="Times New Roman" w:hAnsi="Times New Roman" w:cs="Times New Roman"/>
          <w:sz w:val="28"/>
          <w:szCs w:val="28"/>
        </w:rPr>
        <w:t>.</w:t>
      </w:r>
    </w:p>
    <w:p w:rsidR="002F64C0" w:rsidRPr="00EC20F8" w:rsidRDefault="0014344F" w:rsidP="0014344F">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По первому (консервативному) варианту прогноза объем отгруженных товаров собственного производства, выполненных работ и услуг собственными силами прогнозируется в 2015 году в размере 130,0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в 2016 году – 137,0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в 2017 году – 144,6</w:t>
      </w:r>
      <w:r w:rsidR="00511BAE" w:rsidRPr="00EC20F8">
        <w:rPr>
          <w:rFonts w:ascii="Times New Roman" w:hAnsi="Times New Roman" w:cs="Times New Roman"/>
          <w:sz w:val="28"/>
          <w:szCs w:val="28"/>
        </w:rPr>
        <w:t xml:space="preserve"> </w:t>
      </w:r>
      <w:proofErr w:type="spellStart"/>
      <w:r w:rsidR="00511BAE" w:rsidRPr="00EC20F8">
        <w:rPr>
          <w:rFonts w:ascii="Times New Roman" w:hAnsi="Times New Roman" w:cs="Times New Roman"/>
          <w:sz w:val="28"/>
          <w:szCs w:val="28"/>
        </w:rPr>
        <w:t>млн</w:t>
      </w:r>
      <w:proofErr w:type="spellEnd"/>
      <w:r w:rsidR="00511BAE" w:rsidRPr="00EC20F8">
        <w:rPr>
          <w:rFonts w:ascii="Times New Roman" w:hAnsi="Times New Roman" w:cs="Times New Roman"/>
          <w:sz w:val="28"/>
          <w:szCs w:val="28"/>
        </w:rPr>
        <w:t xml:space="preserve"> рублей. </w:t>
      </w:r>
      <w:r w:rsidRPr="00EC20F8">
        <w:rPr>
          <w:rFonts w:ascii="Times New Roman" w:hAnsi="Times New Roman" w:cs="Times New Roman"/>
          <w:sz w:val="28"/>
          <w:szCs w:val="28"/>
        </w:rPr>
        <w:t>Индекс производства в 2015 году составит 101,1</w:t>
      </w:r>
      <w:r w:rsidR="00511BAE" w:rsidRPr="00EC20F8">
        <w:rPr>
          <w:rFonts w:ascii="Times New Roman" w:hAnsi="Times New Roman" w:cs="Times New Roman"/>
          <w:sz w:val="28"/>
          <w:szCs w:val="28"/>
        </w:rPr>
        <w:t xml:space="preserve"> %, в </w:t>
      </w:r>
      <w:r w:rsidRPr="00EC20F8">
        <w:rPr>
          <w:rFonts w:ascii="Times New Roman" w:hAnsi="Times New Roman" w:cs="Times New Roman"/>
          <w:sz w:val="28"/>
          <w:szCs w:val="28"/>
        </w:rPr>
        <w:t>2016 году 101,0</w:t>
      </w:r>
      <w:r w:rsidR="00511BAE" w:rsidRPr="00EC20F8">
        <w:rPr>
          <w:rFonts w:ascii="Times New Roman" w:hAnsi="Times New Roman" w:cs="Times New Roman"/>
          <w:sz w:val="28"/>
          <w:szCs w:val="28"/>
        </w:rPr>
        <w:t xml:space="preserve"> %, в </w:t>
      </w:r>
      <w:r w:rsidRPr="00EC20F8">
        <w:rPr>
          <w:rFonts w:ascii="Times New Roman" w:hAnsi="Times New Roman" w:cs="Times New Roman"/>
          <w:sz w:val="28"/>
          <w:szCs w:val="28"/>
        </w:rPr>
        <w:t>2017 году – 102,0 % (рис. 3.</w:t>
      </w:r>
      <w:r w:rsidR="0064745D" w:rsidRPr="00EC20F8">
        <w:rPr>
          <w:rFonts w:ascii="Times New Roman" w:hAnsi="Times New Roman" w:cs="Times New Roman"/>
          <w:sz w:val="28"/>
          <w:szCs w:val="28"/>
        </w:rPr>
        <w:t>2</w:t>
      </w:r>
      <w:r w:rsidRPr="00EC20F8">
        <w:rPr>
          <w:rFonts w:ascii="Times New Roman" w:hAnsi="Times New Roman" w:cs="Times New Roman"/>
          <w:sz w:val="28"/>
          <w:szCs w:val="28"/>
        </w:rPr>
        <w:t xml:space="preserve">.). </w:t>
      </w:r>
    </w:p>
    <w:p w:rsidR="0014344F" w:rsidRPr="00EC20F8" w:rsidRDefault="0014344F" w:rsidP="0014344F">
      <w:pPr>
        <w:widowControl w:val="0"/>
        <w:ind w:firstLine="1134"/>
        <w:jc w:val="both"/>
        <w:rPr>
          <w:rFonts w:ascii="Times New Roman" w:hAnsi="Times New Roman" w:cs="Times New Roman"/>
          <w:sz w:val="28"/>
          <w:szCs w:val="28"/>
        </w:rPr>
      </w:pPr>
      <w:r w:rsidRPr="00EC20F8">
        <w:rPr>
          <w:rFonts w:ascii="Times New Roman" w:hAnsi="Times New Roman" w:cs="Times New Roman"/>
          <w:noProof/>
          <w:sz w:val="28"/>
          <w:szCs w:val="28"/>
          <w:bdr w:val="single" w:sz="4" w:space="0" w:color="auto"/>
          <w:lang w:eastAsia="ru-RU"/>
        </w:rPr>
        <w:drawing>
          <wp:inline distT="0" distB="0" distL="0" distR="0">
            <wp:extent cx="4572000" cy="2295525"/>
            <wp:effectExtent l="0" t="0" r="0" b="0"/>
            <wp:docPr id="1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F64C0" w:rsidRPr="00EC20F8" w:rsidRDefault="002F64C0" w:rsidP="0014344F">
      <w:pPr>
        <w:widowControl w:val="0"/>
        <w:jc w:val="center"/>
        <w:rPr>
          <w:rFonts w:ascii="Times New Roman" w:hAnsi="Times New Roman" w:cs="Times New Roman"/>
          <w:i/>
          <w:sz w:val="16"/>
          <w:szCs w:val="16"/>
        </w:rPr>
      </w:pPr>
    </w:p>
    <w:p w:rsidR="0014344F" w:rsidRPr="00EC20F8" w:rsidRDefault="0014344F" w:rsidP="0014344F">
      <w:pPr>
        <w:widowControl w:val="0"/>
        <w:jc w:val="center"/>
        <w:rPr>
          <w:rFonts w:ascii="Times New Roman" w:hAnsi="Times New Roman" w:cs="Times New Roman"/>
          <w:i/>
          <w:sz w:val="24"/>
          <w:szCs w:val="24"/>
        </w:rPr>
      </w:pPr>
      <w:r w:rsidRPr="00EC20F8">
        <w:rPr>
          <w:rFonts w:ascii="Times New Roman" w:hAnsi="Times New Roman" w:cs="Times New Roman"/>
          <w:i/>
          <w:sz w:val="24"/>
          <w:szCs w:val="24"/>
        </w:rPr>
        <w:t>Рис. 3.</w:t>
      </w:r>
      <w:r w:rsidR="0064745D" w:rsidRPr="00EC20F8">
        <w:rPr>
          <w:rFonts w:ascii="Times New Roman" w:hAnsi="Times New Roman" w:cs="Times New Roman"/>
          <w:i/>
          <w:sz w:val="24"/>
          <w:szCs w:val="24"/>
        </w:rPr>
        <w:t>2</w:t>
      </w:r>
      <w:r w:rsidRPr="00EC20F8">
        <w:rPr>
          <w:rFonts w:ascii="Times New Roman" w:hAnsi="Times New Roman" w:cs="Times New Roman"/>
          <w:i/>
          <w:sz w:val="24"/>
          <w:szCs w:val="24"/>
        </w:rPr>
        <w:t>. О</w:t>
      </w:r>
      <w:r w:rsidR="00F95931" w:rsidRPr="00EC20F8">
        <w:rPr>
          <w:rFonts w:ascii="Times New Roman" w:hAnsi="Times New Roman" w:cs="Times New Roman"/>
          <w:i/>
          <w:sz w:val="24"/>
          <w:szCs w:val="24"/>
        </w:rPr>
        <w:t xml:space="preserve">бъем </w:t>
      </w:r>
      <w:r w:rsidRPr="00EC20F8">
        <w:rPr>
          <w:rFonts w:ascii="Times New Roman" w:hAnsi="Times New Roman" w:cs="Times New Roman"/>
          <w:i/>
          <w:sz w:val="24"/>
          <w:szCs w:val="24"/>
        </w:rPr>
        <w:t>добыч</w:t>
      </w:r>
      <w:r w:rsidR="00C307C1" w:rsidRPr="00EC20F8">
        <w:rPr>
          <w:rFonts w:ascii="Times New Roman" w:hAnsi="Times New Roman" w:cs="Times New Roman"/>
          <w:i/>
          <w:sz w:val="24"/>
          <w:szCs w:val="24"/>
        </w:rPr>
        <w:t>и</w:t>
      </w:r>
      <w:r w:rsidRPr="00EC20F8">
        <w:rPr>
          <w:rFonts w:ascii="Times New Roman" w:hAnsi="Times New Roman" w:cs="Times New Roman"/>
          <w:i/>
          <w:sz w:val="24"/>
          <w:szCs w:val="24"/>
        </w:rPr>
        <w:t xml:space="preserve"> полезных ископаемых  по полному кругу производителей</w:t>
      </w:r>
      <w:r w:rsidR="00C307C1" w:rsidRPr="00EC20F8">
        <w:rPr>
          <w:rFonts w:ascii="Times New Roman" w:hAnsi="Times New Roman" w:cs="Times New Roman"/>
          <w:i/>
          <w:sz w:val="24"/>
          <w:szCs w:val="24"/>
        </w:rPr>
        <w:t xml:space="preserve"> </w:t>
      </w:r>
      <w:proofErr w:type="gramStart"/>
      <w:r w:rsidR="00C307C1" w:rsidRPr="00EC20F8">
        <w:rPr>
          <w:rFonts w:ascii="Times New Roman" w:hAnsi="Times New Roman" w:cs="Times New Roman"/>
          <w:i/>
          <w:sz w:val="24"/>
          <w:szCs w:val="24"/>
        </w:rPr>
        <w:t>Петропавловск-Камчатского</w:t>
      </w:r>
      <w:proofErr w:type="gramEnd"/>
      <w:r w:rsidR="00C307C1" w:rsidRPr="00EC20F8">
        <w:rPr>
          <w:rFonts w:ascii="Times New Roman" w:hAnsi="Times New Roman" w:cs="Times New Roman"/>
          <w:i/>
          <w:sz w:val="24"/>
          <w:szCs w:val="24"/>
        </w:rPr>
        <w:t xml:space="preserve"> городского округа</w:t>
      </w:r>
    </w:p>
    <w:p w:rsidR="0014344F" w:rsidRPr="00EC20F8" w:rsidRDefault="0014344F" w:rsidP="0014344F">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По второму варианту (умеренно-оптимистичному) прогноза объем отгруженных товаров собственного производства, выполненных работ и услуг собственными силами предполагается в сумме: в 2015 году в размере 131,5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в 2016 году – 139,15</w:t>
      </w:r>
      <w:r w:rsidR="00511BAE" w:rsidRPr="00EC20F8">
        <w:rPr>
          <w:rFonts w:ascii="Times New Roman" w:hAnsi="Times New Roman" w:cs="Times New Roman"/>
          <w:sz w:val="28"/>
          <w:szCs w:val="28"/>
        </w:rPr>
        <w:t xml:space="preserve">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в 2017 году – 148,2</w:t>
      </w:r>
      <w:r w:rsidR="00511BAE" w:rsidRPr="00EC20F8">
        <w:rPr>
          <w:rFonts w:ascii="Times New Roman" w:hAnsi="Times New Roman" w:cs="Times New Roman"/>
          <w:sz w:val="28"/>
          <w:szCs w:val="28"/>
        </w:rPr>
        <w:t xml:space="preserve"> </w:t>
      </w:r>
      <w:proofErr w:type="spellStart"/>
      <w:r w:rsidR="00511BAE" w:rsidRPr="00EC20F8">
        <w:rPr>
          <w:rFonts w:ascii="Times New Roman" w:hAnsi="Times New Roman" w:cs="Times New Roman"/>
          <w:sz w:val="28"/>
          <w:szCs w:val="28"/>
        </w:rPr>
        <w:t>млн</w:t>
      </w:r>
      <w:proofErr w:type="spellEnd"/>
      <w:r w:rsidR="00511BAE" w:rsidRPr="00EC20F8">
        <w:rPr>
          <w:rFonts w:ascii="Times New Roman" w:hAnsi="Times New Roman" w:cs="Times New Roman"/>
          <w:sz w:val="28"/>
          <w:szCs w:val="28"/>
        </w:rPr>
        <w:t xml:space="preserve"> рублей. </w:t>
      </w:r>
      <w:r w:rsidRPr="00EC20F8">
        <w:rPr>
          <w:rFonts w:ascii="Times New Roman" w:hAnsi="Times New Roman" w:cs="Times New Roman"/>
          <w:sz w:val="28"/>
          <w:szCs w:val="28"/>
        </w:rPr>
        <w:t>Индекс производства в 2015 году составит 102,0</w:t>
      </w:r>
      <w:r w:rsidR="00511BAE" w:rsidRPr="00EC20F8">
        <w:rPr>
          <w:rFonts w:ascii="Times New Roman" w:hAnsi="Times New Roman" w:cs="Times New Roman"/>
          <w:sz w:val="28"/>
          <w:szCs w:val="28"/>
        </w:rPr>
        <w:t xml:space="preserve"> %, в </w:t>
      </w:r>
      <w:r w:rsidRPr="00EC20F8">
        <w:rPr>
          <w:rFonts w:ascii="Times New Roman" w:hAnsi="Times New Roman" w:cs="Times New Roman"/>
          <w:sz w:val="28"/>
          <w:szCs w:val="28"/>
        </w:rPr>
        <w:t>2016 году – 102,0</w:t>
      </w:r>
      <w:r w:rsidR="00511BAE" w:rsidRPr="00EC20F8">
        <w:rPr>
          <w:rFonts w:ascii="Times New Roman" w:hAnsi="Times New Roman" w:cs="Times New Roman"/>
          <w:sz w:val="28"/>
          <w:szCs w:val="28"/>
        </w:rPr>
        <w:t xml:space="preserve"> %, в </w:t>
      </w:r>
      <w:r w:rsidRPr="00EC20F8">
        <w:rPr>
          <w:rFonts w:ascii="Times New Roman" w:hAnsi="Times New Roman" w:cs="Times New Roman"/>
          <w:sz w:val="28"/>
          <w:szCs w:val="28"/>
        </w:rPr>
        <w:t xml:space="preserve">2017 году – 103,0 %. </w:t>
      </w:r>
    </w:p>
    <w:p w:rsidR="0014344F" w:rsidRPr="00EC20F8" w:rsidRDefault="0014344F" w:rsidP="0014344F">
      <w:pPr>
        <w:widowControl w:val="0"/>
        <w:ind w:firstLine="709"/>
        <w:jc w:val="both"/>
        <w:rPr>
          <w:rFonts w:ascii="Times New Roman" w:eastAsia="Times New Roman" w:hAnsi="Times New Roman" w:cs="Times New Roman"/>
          <w:sz w:val="28"/>
          <w:szCs w:val="28"/>
          <w:lang w:eastAsia="ru-RU"/>
        </w:rPr>
      </w:pPr>
      <w:r w:rsidRPr="00EC20F8">
        <w:rPr>
          <w:rFonts w:ascii="Times New Roman" w:hAnsi="Times New Roman" w:cs="Times New Roman"/>
          <w:sz w:val="28"/>
          <w:szCs w:val="28"/>
        </w:rPr>
        <w:t xml:space="preserve">В  2013 году </w:t>
      </w:r>
      <w:r w:rsidRPr="00EC20F8">
        <w:rPr>
          <w:rFonts w:ascii="Times New Roman" w:hAnsi="Times New Roman" w:cs="Times New Roman"/>
          <w:b/>
          <w:i/>
          <w:sz w:val="28"/>
          <w:szCs w:val="28"/>
        </w:rPr>
        <w:t>обрабатывающий сектор</w:t>
      </w:r>
      <w:r w:rsidRPr="00EC20F8">
        <w:rPr>
          <w:rFonts w:ascii="Times New Roman" w:hAnsi="Times New Roman" w:cs="Times New Roman"/>
          <w:sz w:val="28"/>
          <w:szCs w:val="28"/>
        </w:rPr>
        <w:t xml:space="preserve"> составил 7</w:t>
      </w:r>
      <w:r w:rsidR="00C307C1" w:rsidRPr="00EC20F8">
        <w:rPr>
          <w:rFonts w:ascii="Times New Roman" w:hAnsi="Times New Roman" w:cs="Times New Roman"/>
          <w:sz w:val="28"/>
          <w:szCs w:val="28"/>
        </w:rPr>
        <w:t>3,8</w:t>
      </w:r>
      <w:r w:rsidRPr="00EC20F8">
        <w:rPr>
          <w:rFonts w:ascii="Times New Roman" w:hAnsi="Times New Roman" w:cs="Times New Roman"/>
          <w:sz w:val="28"/>
          <w:szCs w:val="28"/>
        </w:rPr>
        <w:t xml:space="preserve"> % всего объема</w:t>
      </w:r>
      <w:r w:rsidRPr="00EC20F8">
        <w:rPr>
          <w:rFonts w:ascii="Times New Roman" w:hAnsi="Times New Roman" w:cs="Times New Roman"/>
          <w:i/>
          <w:sz w:val="28"/>
          <w:szCs w:val="28"/>
        </w:rPr>
        <w:t xml:space="preserve"> </w:t>
      </w:r>
      <w:r w:rsidRPr="00EC20F8">
        <w:rPr>
          <w:rFonts w:ascii="Times New Roman" w:hAnsi="Times New Roman" w:cs="Times New Roman"/>
          <w:sz w:val="28"/>
          <w:szCs w:val="28"/>
        </w:rPr>
        <w:t xml:space="preserve">отгруженных товаров, выполненных работ и услуг промышленных видов деятельности. Объем отгрузки продукции </w:t>
      </w:r>
      <w:r w:rsidR="00511BAE" w:rsidRPr="00EC20F8">
        <w:rPr>
          <w:rFonts w:ascii="Times New Roman" w:hAnsi="Times New Roman" w:cs="Times New Roman"/>
          <w:sz w:val="28"/>
          <w:szCs w:val="28"/>
        </w:rPr>
        <w:t xml:space="preserve">собственного производства </w:t>
      </w:r>
      <w:r w:rsidRPr="00EC20F8">
        <w:rPr>
          <w:rFonts w:ascii="Times New Roman" w:hAnsi="Times New Roman" w:cs="Times New Roman"/>
          <w:sz w:val="28"/>
          <w:szCs w:val="28"/>
        </w:rPr>
        <w:t xml:space="preserve">составил </w:t>
      </w:r>
      <w:r w:rsidRPr="00EC20F8">
        <w:rPr>
          <w:rFonts w:ascii="Times New Roman" w:eastAsia="Times New Roman" w:hAnsi="Times New Roman" w:cs="Times New Roman"/>
          <w:sz w:val="28"/>
          <w:szCs w:val="28"/>
          <w:lang w:eastAsia="ru-RU"/>
        </w:rPr>
        <w:t xml:space="preserve">24 863,8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что ниже уровня 2012 года в действующих ценах на 0,65 </w:t>
      </w:r>
      <w:r w:rsidR="00FA7827" w:rsidRPr="00EC20F8">
        <w:rPr>
          <w:rFonts w:ascii="Times New Roman" w:hAnsi="Times New Roman" w:cs="Times New Roman"/>
          <w:sz w:val="28"/>
          <w:szCs w:val="28"/>
        </w:rPr>
        <w:t>%</w:t>
      </w:r>
      <w:r w:rsidR="00511BAE" w:rsidRPr="00EC20F8">
        <w:rPr>
          <w:rFonts w:ascii="Times New Roman" w:hAnsi="Times New Roman" w:cs="Times New Roman"/>
          <w:sz w:val="28"/>
          <w:szCs w:val="28"/>
        </w:rPr>
        <w:t xml:space="preserve">, </w:t>
      </w:r>
      <w:r w:rsidRPr="00EC20F8">
        <w:rPr>
          <w:rFonts w:ascii="Times New Roman" w:hAnsi="Times New Roman" w:cs="Times New Roman"/>
          <w:sz w:val="28"/>
          <w:szCs w:val="28"/>
        </w:rPr>
        <w:t xml:space="preserve">индекс производства составил 96,2 %. </w:t>
      </w:r>
    </w:p>
    <w:p w:rsidR="0014344F" w:rsidRPr="00EC20F8" w:rsidRDefault="0014344F" w:rsidP="0014344F">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Среди отраслей обрабатывающих производств наибольший вес имеют предприятия пищевой (преимущественно </w:t>
      </w:r>
      <w:proofErr w:type="spellStart"/>
      <w:r w:rsidRPr="00EC20F8">
        <w:rPr>
          <w:rFonts w:ascii="Times New Roman" w:hAnsi="Times New Roman" w:cs="Times New Roman"/>
          <w:sz w:val="28"/>
          <w:szCs w:val="28"/>
        </w:rPr>
        <w:t>рыбоперерабатывающей</w:t>
      </w:r>
      <w:proofErr w:type="spellEnd"/>
      <w:r w:rsidRPr="00EC20F8">
        <w:rPr>
          <w:rFonts w:ascii="Times New Roman" w:hAnsi="Times New Roman" w:cs="Times New Roman"/>
          <w:sz w:val="28"/>
          <w:szCs w:val="28"/>
        </w:rPr>
        <w:t>) промышленности и судоремонта, развитие которых будет определять динамику развития отрасли в целом. Крупные предприятия отрасли: производственный кооператив «Рыболовецкий колхоз им. В.И. Ленина», открытое акционерное общество «</w:t>
      </w:r>
      <w:proofErr w:type="spellStart"/>
      <w:r w:rsidRPr="00EC20F8">
        <w:rPr>
          <w:rFonts w:ascii="Times New Roman" w:hAnsi="Times New Roman" w:cs="Times New Roman"/>
          <w:sz w:val="28"/>
          <w:szCs w:val="28"/>
        </w:rPr>
        <w:t>Океанрыбфлот</w:t>
      </w:r>
      <w:proofErr w:type="spellEnd"/>
      <w:r w:rsidRPr="00EC20F8">
        <w:rPr>
          <w:rFonts w:ascii="Times New Roman" w:hAnsi="Times New Roman" w:cs="Times New Roman"/>
          <w:sz w:val="28"/>
          <w:szCs w:val="28"/>
        </w:rPr>
        <w:t>», ОАО «Молокозавод Петропавловский», открытое акционерное общество «Камчатское пиво»; открытое акционерное общество «Петропавловская судоверфь», закрытое акционерное общество «Петропавловск-Камчатский судоремонтный завод».</w:t>
      </w:r>
    </w:p>
    <w:p w:rsidR="0014344F" w:rsidRPr="00EC20F8" w:rsidRDefault="0014344F" w:rsidP="0014344F">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Рыбодобывающими и </w:t>
      </w:r>
      <w:proofErr w:type="spellStart"/>
      <w:r w:rsidRPr="00EC20F8">
        <w:rPr>
          <w:rFonts w:ascii="Times New Roman" w:hAnsi="Times New Roman" w:cs="Times New Roman"/>
          <w:sz w:val="28"/>
          <w:szCs w:val="28"/>
        </w:rPr>
        <w:t>рыбоперерабатывающими</w:t>
      </w:r>
      <w:proofErr w:type="spellEnd"/>
      <w:r w:rsidRPr="00EC20F8">
        <w:rPr>
          <w:rFonts w:ascii="Times New Roman" w:hAnsi="Times New Roman" w:cs="Times New Roman"/>
          <w:sz w:val="28"/>
          <w:szCs w:val="28"/>
        </w:rPr>
        <w:t xml:space="preserve"> предприятиями городского округа в 2013 году произведено 436,1 тысяч тонн рыбы и продуктов рыбных переработанных и консервированных, что составило 94,8% от уровня 2012 года. </w:t>
      </w:r>
    </w:p>
    <w:p w:rsidR="0014344F" w:rsidRPr="00EC20F8" w:rsidRDefault="0014344F" w:rsidP="0014344F">
      <w:pPr>
        <w:widowControl w:val="0"/>
        <w:ind w:firstLine="709"/>
        <w:jc w:val="both"/>
        <w:rPr>
          <w:rFonts w:ascii="Times New Roman" w:eastAsia="Times New Roman" w:hAnsi="Times New Roman" w:cs="Times New Roman"/>
          <w:sz w:val="28"/>
          <w:szCs w:val="28"/>
          <w:lang w:eastAsia="ru-RU"/>
        </w:rPr>
      </w:pPr>
      <w:proofErr w:type="gramStart"/>
      <w:r w:rsidRPr="00EC20F8">
        <w:rPr>
          <w:rFonts w:ascii="Times New Roman" w:hAnsi="Times New Roman" w:cs="Times New Roman"/>
          <w:sz w:val="28"/>
          <w:szCs w:val="28"/>
        </w:rPr>
        <w:t>Увеличено производство следующих ассортиментных групп: мясо рыбы (включая фарш) мороженное прочее (145,2 %), филе рыбное мороженое (в 2,1 раза), сельдь мороженая (105,9 %), рыба (кроме сельди) среднесоленая (110,1 %), рыба холодного копчения (кроме сельди) (в 1,27 раз), м</w:t>
      </w:r>
      <w:r w:rsidR="00511BAE" w:rsidRPr="00EC20F8">
        <w:rPr>
          <w:rFonts w:ascii="Times New Roman" w:hAnsi="Times New Roman" w:cs="Times New Roman"/>
          <w:sz w:val="28"/>
          <w:szCs w:val="28"/>
        </w:rPr>
        <w:t>орепродукты пищевые (120,2 %).</w:t>
      </w:r>
      <w:proofErr w:type="gramEnd"/>
      <w:r w:rsidR="00511BAE" w:rsidRPr="00EC20F8">
        <w:rPr>
          <w:rFonts w:ascii="Times New Roman" w:hAnsi="Times New Roman" w:cs="Times New Roman"/>
          <w:sz w:val="28"/>
          <w:szCs w:val="28"/>
        </w:rPr>
        <w:t xml:space="preserve"> </w:t>
      </w:r>
      <w:r w:rsidRPr="00EC20F8">
        <w:rPr>
          <w:rFonts w:ascii="Times New Roman" w:eastAsia="Times New Roman" w:hAnsi="Times New Roman" w:cs="Times New Roman"/>
          <w:sz w:val="28"/>
          <w:szCs w:val="28"/>
          <w:lang w:eastAsia="ru-RU"/>
        </w:rPr>
        <w:t xml:space="preserve">Производство консервов </w:t>
      </w:r>
      <w:proofErr w:type="gramStart"/>
      <w:r w:rsidRPr="00EC20F8">
        <w:rPr>
          <w:rFonts w:ascii="Times New Roman" w:eastAsia="Times New Roman" w:hAnsi="Times New Roman" w:cs="Times New Roman"/>
          <w:sz w:val="28"/>
          <w:szCs w:val="28"/>
          <w:lang w:eastAsia="ru-RU"/>
        </w:rPr>
        <w:t>рыбных натуральных</w:t>
      </w:r>
      <w:proofErr w:type="gramEnd"/>
      <w:r w:rsidRPr="00EC20F8">
        <w:rPr>
          <w:rFonts w:ascii="Times New Roman" w:eastAsia="Times New Roman" w:hAnsi="Times New Roman" w:cs="Times New Roman"/>
          <w:sz w:val="28"/>
          <w:szCs w:val="28"/>
          <w:lang w:eastAsia="ru-RU"/>
        </w:rPr>
        <w:t xml:space="preserve"> сократилось на 12,0 % и составило 3 052,4 тысяч условных банок.</w:t>
      </w:r>
    </w:p>
    <w:p w:rsidR="0014344F" w:rsidRPr="00EC20F8" w:rsidRDefault="0014344F" w:rsidP="0014344F">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Предприятиями </w:t>
      </w:r>
      <w:proofErr w:type="spellStart"/>
      <w:r w:rsidRPr="00EC20F8">
        <w:rPr>
          <w:rFonts w:ascii="Times New Roman" w:hAnsi="Times New Roman" w:cs="Times New Roman"/>
          <w:sz w:val="28"/>
          <w:szCs w:val="28"/>
        </w:rPr>
        <w:t>рыбоперерабатывающей</w:t>
      </w:r>
      <w:proofErr w:type="spellEnd"/>
      <w:r w:rsidRPr="00EC20F8">
        <w:rPr>
          <w:rFonts w:ascii="Times New Roman" w:hAnsi="Times New Roman" w:cs="Times New Roman"/>
          <w:sz w:val="28"/>
          <w:szCs w:val="28"/>
        </w:rPr>
        <w:t xml:space="preserve"> отрасли городского округа произведено 63,3 % общего объема продукции </w:t>
      </w:r>
      <w:proofErr w:type="spellStart"/>
      <w:r w:rsidRPr="00EC20F8">
        <w:rPr>
          <w:rFonts w:ascii="Times New Roman" w:hAnsi="Times New Roman" w:cs="Times New Roman"/>
          <w:sz w:val="28"/>
          <w:szCs w:val="28"/>
        </w:rPr>
        <w:t>рыбоперерабатывающей</w:t>
      </w:r>
      <w:proofErr w:type="spellEnd"/>
      <w:r w:rsidRPr="00EC20F8">
        <w:rPr>
          <w:rFonts w:ascii="Times New Roman" w:hAnsi="Times New Roman" w:cs="Times New Roman"/>
          <w:sz w:val="28"/>
          <w:szCs w:val="28"/>
        </w:rPr>
        <w:t xml:space="preserve"> отрасли в целом по Камчатскому краю.</w:t>
      </w:r>
    </w:p>
    <w:p w:rsidR="0014344F" w:rsidRPr="00EC20F8" w:rsidRDefault="00511BAE" w:rsidP="0014344F">
      <w:pPr>
        <w:spacing w:line="240" w:lineRule="auto"/>
        <w:ind w:firstLine="709"/>
        <w:jc w:val="both"/>
        <w:rPr>
          <w:rFonts w:ascii="Times New Roman" w:eastAsia="Times New Roman" w:hAnsi="Times New Roman" w:cs="Times New Roman"/>
          <w:sz w:val="28"/>
          <w:szCs w:val="28"/>
          <w:lang w:eastAsia="ru-RU"/>
        </w:rPr>
      </w:pPr>
      <w:r w:rsidRPr="00EC20F8">
        <w:rPr>
          <w:rFonts w:ascii="Times New Roman" w:eastAsia="Times New Roman" w:hAnsi="Times New Roman" w:cs="Times New Roman"/>
          <w:sz w:val="28"/>
          <w:szCs w:val="28"/>
          <w:lang w:eastAsia="ru-RU"/>
        </w:rPr>
        <w:t xml:space="preserve">Предприятиями по производству </w:t>
      </w:r>
      <w:r w:rsidR="0014344F" w:rsidRPr="00EC20F8">
        <w:rPr>
          <w:rFonts w:ascii="Times New Roman" w:eastAsia="Times New Roman" w:hAnsi="Times New Roman" w:cs="Times New Roman"/>
          <w:sz w:val="28"/>
          <w:szCs w:val="28"/>
          <w:lang w:eastAsia="ru-RU"/>
        </w:rPr>
        <w:t>пищевой продукции увеличен выпуск колбасных изделий – на 2,0</w:t>
      </w:r>
      <w:r w:rsidRPr="00EC20F8">
        <w:rPr>
          <w:rFonts w:ascii="Times New Roman" w:eastAsia="Times New Roman" w:hAnsi="Times New Roman" w:cs="Times New Roman"/>
          <w:sz w:val="28"/>
          <w:szCs w:val="28"/>
          <w:lang w:eastAsia="ru-RU"/>
        </w:rPr>
        <w:t xml:space="preserve"> %, </w:t>
      </w:r>
      <w:r w:rsidR="0014344F" w:rsidRPr="00EC20F8">
        <w:rPr>
          <w:rFonts w:ascii="Times New Roman" w:eastAsia="Times New Roman" w:hAnsi="Times New Roman" w:cs="Times New Roman"/>
          <w:sz w:val="28"/>
          <w:szCs w:val="28"/>
          <w:lang w:eastAsia="ru-RU"/>
        </w:rPr>
        <w:t>хлеба и хлебобулочных изделий - на 16,6 %, кондитерских изделий на 2,1 %, воды газирова</w:t>
      </w:r>
      <w:r w:rsidRPr="00EC20F8">
        <w:rPr>
          <w:rFonts w:ascii="Times New Roman" w:eastAsia="Times New Roman" w:hAnsi="Times New Roman" w:cs="Times New Roman"/>
          <w:sz w:val="28"/>
          <w:szCs w:val="28"/>
          <w:lang w:eastAsia="ru-RU"/>
        </w:rPr>
        <w:t>нной, содержащей добавки сахара</w:t>
      </w:r>
      <w:r w:rsidR="0014344F" w:rsidRPr="00EC20F8">
        <w:rPr>
          <w:rFonts w:ascii="Times New Roman" w:eastAsia="Times New Roman" w:hAnsi="Times New Roman" w:cs="Times New Roman"/>
          <w:sz w:val="28"/>
          <w:szCs w:val="28"/>
          <w:lang w:eastAsia="ru-RU"/>
        </w:rPr>
        <w:t xml:space="preserve"> - на 33,3 %, творога – на 2,6 %, мороженого – на 12,1</w:t>
      </w:r>
      <w:r w:rsidRPr="00EC20F8">
        <w:rPr>
          <w:rFonts w:ascii="Times New Roman" w:eastAsia="Times New Roman" w:hAnsi="Times New Roman" w:cs="Times New Roman"/>
          <w:sz w:val="28"/>
          <w:szCs w:val="28"/>
          <w:lang w:eastAsia="ru-RU"/>
        </w:rPr>
        <w:t xml:space="preserve"> </w:t>
      </w:r>
      <w:r w:rsidR="0014344F" w:rsidRPr="00EC20F8">
        <w:rPr>
          <w:rFonts w:ascii="Times New Roman" w:eastAsia="Times New Roman" w:hAnsi="Times New Roman" w:cs="Times New Roman"/>
          <w:sz w:val="28"/>
          <w:szCs w:val="28"/>
          <w:lang w:eastAsia="ru-RU"/>
        </w:rPr>
        <w:t xml:space="preserve">%, цельномолочной продукции - </w:t>
      </w:r>
      <w:proofErr w:type="gramStart"/>
      <w:r w:rsidR="0014344F" w:rsidRPr="00EC20F8">
        <w:rPr>
          <w:rFonts w:ascii="Times New Roman" w:eastAsia="Times New Roman" w:hAnsi="Times New Roman" w:cs="Times New Roman"/>
          <w:sz w:val="28"/>
          <w:szCs w:val="28"/>
          <w:lang w:eastAsia="ru-RU"/>
        </w:rPr>
        <w:t>на</w:t>
      </w:r>
      <w:proofErr w:type="gramEnd"/>
      <w:r w:rsidR="0014344F" w:rsidRPr="00EC20F8">
        <w:rPr>
          <w:rFonts w:ascii="Times New Roman" w:eastAsia="Times New Roman" w:hAnsi="Times New Roman" w:cs="Times New Roman"/>
          <w:sz w:val="28"/>
          <w:szCs w:val="28"/>
          <w:lang w:eastAsia="ru-RU"/>
        </w:rPr>
        <w:t xml:space="preserve"> 2,8</w:t>
      </w:r>
      <w:r w:rsidRPr="00EC20F8">
        <w:rPr>
          <w:rFonts w:ascii="Times New Roman" w:eastAsia="Times New Roman" w:hAnsi="Times New Roman" w:cs="Times New Roman"/>
          <w:sz w:val="28"/>
          <w:szCs w:val="28"/>
          <w:lang w:eastAsia="ru-RU"/>
        </w:rPr>
        <w:t xml:space="preserve"> </w:t>
      </w:r>
      <w:r w:rsidR="0014344F" w:rsidRPr="00EC20F8">
        <w:rPr>
          <w:rFonts w:ascii="Times New Roman" w:eastAsia="Times New Roman" w:hAnsi="Times New Roman" w:cs="Times New Roman"/>
          <w:sz w:val="28"/>
          <w:szCs w:val="28"/>
          <w:lang w:eastAsia="ru-RU"/>
        </w:rPr>
        <w:t>%, кисломолочных продуктов – на 5,1 %, комбикормов – на 14,5 %.</w:t>
      </w:r>
    </w:p>
    <w:p w:rsidR="0014344F" w:rsidRPr="00EC20F8" w:rsidRDefault="0014344F" w:rsidP="0014344F">
      <w:pPr>
        <w:spacing w:line="240" w:lineRule="auto"/>
        <w:ind w:firstLine="709"/>
        <w:jc w:val="both"/>
        <w:rPr>
          <w:rFonts w:ascii="Times New Roman" w:eastAsia="Times New Roman" w:hAnsi="Times New Roman" w:cs="Times New Roman"/>
          <w:sz w:val="28"/>
          <w:szCs w:val="28"/>
          <w:lang w:eastAsia="ru-RU"/>
        </w:rPr>
      </w:pPr>
      <w:r w:rsidRPr="00EC20F8">
        <w:rPr>
          <w:rFonts w:ascii="Times New Roman" w:eastAsia="Times New Roman" w:hAnsi="Times New Roman" w:cs="Times New Roman"/>
          <w:sz w:val="28"/>
          <w:szCs w:val="28"/>
          <w:lang w:eastAsia="ru-RU"/>
        </w:rPr>
        <w:t xml:space="preserve">Отмечено снижение объемов производства пива - на 9,8 %, воды минеральной и газированной </w:t>
      </w:r>
      <w:proofErr w:type="spellStart"/>
      <w:r w:rsidRPr="00EC20F8">
        <w:rPr>
          <w:rFonts w:ascii="Times New Roman" w:eastAsia="Times New Roman" w:hAnsi="Times New Roman" w:cs="Times New Roman"/>
          <w:sz w:val="28"/>
          <w:szCs w:val="28"/>
          <w:lang w:eastAsia="ru-RU"/>
        </w:rPr>
        <w:t>неподслащенной</w:t>
      </w:r>
      <w:proofErr w:type="spellEnd"/>
      <w:r w:rsidRPr="00EC20F8">
        <w:rPr>
          <w:rFonts w:ascii="Times New Roman" w:eastAsia="Times New Roman" w:hAnsi="Times New Roman" w:cs="Times New Roman"/>
          <w:sz w:val="28"/>
          <w:szCs w:val="28"/>
          <w:lang w:eastAsia="ru-RU"/>
        </w:rPr>
        <w:t xml:space="preserve"> и </w:t>
      </w:r>
      <w:proofErr w:type="spellStart"/>
      <w:r w:rsidRPr="00EC20F8">
        <w:rPr>
          <w:rFonts w:ascii="Times New Roman" w:eastAsia="Times New Roman" w:hAnsi="Times New Roman" w:cs="Times New Roman"/>
          <w:sz w:val="28"/>
          <w:szCs w:val="28"/>
          <w:lang w:eastAsia="ru-RU"/>
        </w:rPr>
        <w:t>неароматизированной</w:t>
      </w:r>
      <w:proofErr w:type="spellEnd"/>
      <w:r w:rsidRPr="00EC20F8">
        <w:rPr>
          <w:rFonts w:ascii="Times New Roman" w:eastAsia="Times New Roman" w:hAnsi="Times New Roman" w:cs="Times New Roman"/>
          <w:sz w:val="28"/>
          <w:szCs w:val="28"/>
          <w:lang w:eastAsia="ru-RU"/>
        </w:rPr>
        <w:t xml:space="preserve"> – на 1,1</w:t>
      </w:r>
      <w:r w:rsidR="00511BAE" w:rsidRPr="00EC20F8">
        <w:rPr>
          <w:rFonts w:ascii="Times New Roman" w:eastAsia="Times New Roman" w:hAnsi="Times New Roman" w:cs="Times New Roman"/>
          <w:sz w:val="28"/>
          <w:szCs w:val="28"/>
          <w:lang w:eastAsia="ru-RU"/>
        </w:rPr>
        <w:t xml:space="preserve"> </w:t>
      </w:r>
      <w:r w:rsidRPr="00EC20F8">
        <w:rPr>
          <w:rFonts w:ascii="Times New Roman" w:eastAsia="Times New Roman" w:hAnsi="Times New Roman" w:cs="Times New Roman"/>
          <w:sz w:val="28"/>
          <w:szCs w:val="28"/>
          <w:lang w:eastAsia="ru-RU"/>
        </w:rPr>
        <w:t xml:space="preserve">%, </w:t>
      </w:r>
      <w:r w:rsidRPr="00EC20F8">
        <w:rPr>
          <w:rFonts w:ascii="Times New Roman" w:hAnsi="Times New Roman" w:cs="Times New Roman"/>
          <w:sz w:val="28"/>
          <w:szCs w:val="28"/>
        </w:rPr>
        <w:t>выпуск мясных полуфабрикатов на 28,1 %.</w:t>
      </w:r>
    </w:p>
    <w:p w:rsidR="0014344F" w:rsidRPr="00EC20F8" w:rsidRDefault="0014344F" w:rsidP="0014344F">
      <w:pPr>
        <w:widowControl w:val="0"/>
        <w:ind w:firstLine="709"/>
        <w:jc w:val="both"/>
        <w:rPr>
          <w:rFonts w:ascii="Times New Roman" w:hAnsi="Times New Roman" w:cs="Times New Roman"/>
          <w:sz w:val="28"/>
          <w:szCs w:val="28"/>
        </w:rPr>
      </w:pPr>
      <w:r w:rsidRPr="00EC20F8">
        <w:rPr>
          <w:rFonts w:ascii="Times New Roman" w:eastAsia="Times New Roman" w:hAnsi="Times New Roman" w:cs="Times New Roman"/>
          <w:sz w:val="28"/>
          <w:szCs w:val="28"/>
          <w:lang w:eastAsia="ru-RU"/>
        </w:rPr>
        <w:t>За 2013 год произведено: 1 431,9 тонн колбасных изделий, 525,4 тонн мясных полуфабрикатов, 896,1 тонн твор</w:t>
      </w:r>
      <w:r w:rsidR="00511BAE" w:rsidRPr="00EC20F8">
        <w:rPr>
          <w:rFonts w:ascii="Times New Roman" w:eastAsia="Times New Roman" w:hAnsi="Times New Roman" w:cs="Times New Roman"/>
          <w:sz w:val="28"/>
          <w:szCs w:val="28"/>
          <w:lang w:eastAsia="ru-RU"/>
        </w:rPr>
        <w:t xml:space="preserve">ога, 14 704,4 </w:t>
      </w:r>
      <w:r w:rsidRPr="00EC20F8">
        <w:rPr>
          <w:rFonts w:ascii="Times New Roman" w:eastAsia="Times New Roman" w:hAnsi="Times New Roman" w:cs="Times New Roman"/>
          <w:sz w:val="28"/>
          <w:szCs w:val="28"/>
          <w:lang w:eastAsia="ru-RU"/>
        </w:rPr>
        <w:t xml:space="preserve">тонн хлеба и хлебобулочных изделий, </w:t>
      </w:r>
      <w:r w:rsidRPr="00EC20F8">
        <w:rPr>
          <w:rFonts w:ascii="Times New Roman" w:hAnsi="Times New Roman" w:cs="Times New Roman"/>
          <w:sz w:val="28"/>
          <w:szCs w:val="28"/>
        </w:rPr>
        <w:t xml:space="preserve">1 538,2 тонн кондитерских изделий, 6 898 тонн цельномолочной продукции. </w:t>
      </w:r>
    </w:p>
    <w:p w:rsidR="0014344F" w:rsidRPr="00EC20F8" w:rsidRDefault="0014344F" w:rsidP="0014344F">
      <w:pPr>
        <w:spacing w:line="240" w:lineRule="auto"/>
        <w:ind w:firstLine="709"/>
        <w:jc w:val="both"/>
        <w:rPr>
          <w:rFonts w:ascii="Times New Roman" w:eastAsia="Times New Roman" w:hAnsi="Times New Roman" w:cs="Times New Roman"/>
          <w:sz w:val="28"/>
          <w:szCs w:val="28"/>
          <w:lang w:eastAsia="ru-RU"/>
        </w:rPr>
      </w:pPr>
      <w:r w:rsidRPr="00EC20F8">
        <w:rPr>
          <w:rFonts w:ascii="Times New Roman" w:eastAsia="Times New Roman" w:hAnsi="Times New Roman" w:cs="Times New Roman"/>
          <w:sz w:val="28"/>
          <w:szCs w:val="28"/>
          <w:lang w:eastAsia="ru-RU"/>
        </w:rPr>
        <w:t xml:space="preserve">Производство  продукции пищевой промышленности, за исключением рыбной продукции, ориентировано на потребности внутреннего рынка </w:t>
      </w:r>
      <w:r w:rsidRPr="00EC20F8">
        <w:rPr>
          <w:rFonts w:ascii="Times New Roman" w:hAnsi="Times New Roman" w:cs="Times New Roman"/>
          <w:sz w:val="28"/>
          <w:szCs w:val="28"/>
        </w:rPr>
        <w:t>и относительно успешно конкурирует с привозными продуктами питания</w:t>
      </w:r>
      <w:r w:rsidRPr="00EC20F8">
        <w:rPr>
          <w:rFonts w:ascii="Times New Roman" w:eastAsia="Times New Roman" w:hAnsi="Times New Roman" w:cs="Times New Roman"/>
          <w:sz w:val="28"/>
          <w:szCs w:val="28"/>
          <w:lang w:eastAsia="ru-RU"/>
        </w:rPr>
        <w:t>.</w:t>
      </w:r>
    </w:p>
    <w:p w:rsidR="0014344F" w:rsidRPr="00EC20F8" w:rsidRDefault="0014344F" w:rsidP="0014344F">
      <w:pPr>
        <w:spacing w:line="240" w:lineRule="auto"/>
        <w:ind w:firstLine="709"/>
        <w:jc w:val="both"/>
        <w:rPr>
          <w:rFonts w:ascii="Times New Roman" w:eastAsia="Times New Roman" w:hAnsi="Times New Roman" w:cs="Times New Roman"/>
          <w:sz w:val="28"/>
          <w:szCs w:val="28"/>
          <w:lang w:eastAsia="ru-RU"/>
        </w:rPr>
      </w:pPr>
      <w:r w:rsidRPr="00EC20F8">
        <w:rPr>
          <w:rFonts w:ascii="Times New Roman" w:hAnsi="Times New Roman" w:cs="Times New Roman"/>
          <w:sz w:val="28"/>
          <w:szCs w:val="28"/>
        </w:rPr>
        <w:t>Всего за 2013 год предприятиями п</w:t>
      </w:r>
      <w:r w:rsidR="00511BAE" w:rsidRPr="00EC20F8">
        <w:rPr>
          <w:rFonts w:ascii="Times New Roman" w:hAnsi="Times New Roman" w:cs="Times New Roman"/>
          <w:sz w:val="28"/>
          <w:szCs w:val="28"/>
        </w:rPr>
        <w:t>ищевой промышленности отгружено</w:t>
      </w:r>
      <w:r w:rsidRPr="00EC20F8">
        <w:rPr>
          <w:rFonts w:ascii="Times New Roman" w:eastAsia="Times New Roman" w:hAnsi="Times New Roman" w:cs="Times New Roman"/>
          <w:sz w:val="28"/>
          <w:szCs w:val="28"/>
          <w:lang w:eastAsia="ru-RU"/>
        </w:rPr>
        <w:t xml:space="preserve"> продукции</w:t>
      </w:r>
      <w:r w:rsidR="00511BAE" w:rsidRPr="00EC20F8">
        <w:rPr>
          <w:rFonts w:ascii="Times New Roman" w:hAnsi="Times New Roman" w:cs="Times New Roman"/>
          <w:sz w:val="28"/>
          <w:szCs w:val="28"/>
        </w:rPr>
        <w:t xml:space="preserve"> </w:t>
      </w:r>
      <w:r w:rsidRPr="00EC20F8">
        <w:rPr>
          <w:rFonts w:ascii="Times New Roman" w:hAnsi="Times New Roman" w:cs="Times New Roman"/>
          <w:sz w:val="28"/>
          <w:szCs w:val="28"/>
        </w:rPr>
        <w:t xml:space="preserve">на сумму </w:t>
      </w:r>
      <w:r w:rsidRPr="00EC20F8">
        <w:rPr>
          <w:rFonts w:ascii="Times New Roman" w:eastAsia="Times New Roman" w:hAnsi="Times New Roman" w:cs="Times New Roman"/>
          <w:sz w:val="28"/>
          <w:szCs w:val="28"/>
          <w:lang w:eastAsia="ru-RU"/>
        </w:rPr>
        <w:t xml:space="preserve">22 061,0 </w:t>
      </w:r>
      <w:proofErr w:type="spellStart"/>
      <w:proofErr w:type="gramStart"/>
      <w:r w:rsidRPr="00EC20F8">
        <w:rPr>
          <w:rFonts w:ascii="Times New Roman" w:eastAsia="Times New Roman" w:hAnsi="Times New Roman" w:cs="Times New Roman"/>
          <w:sz w:val="28"/>
          <w:szCs w:val="28"/>
          <w:lang w:eastAsia="ru-RU"/>
        </w:rPr>
        <w:t>млн</w:t>
      </w:r>
      <w:proofErr w:type="spellEnd"/>
      <w:proofErr w:type="gramEnd"/>
      <w:r w:rsidRPr="00EC20F8">
        <w:rPr>
          <w:rFonts w:ascii="Times New Roman" w:eastAsia="Times New Roman" w:hAnsi="Times New Roman" w:cs="Times New Roman"/>
          <w:sz w:val="28"/>
          <w:szCs w:val="28"/>
          <w:lang w:eastAsia="ru-RU"/>
        </w:rPr>
        <w:t xml:space="preserve"> рублей (99,6% к объему 2012 года в действующих ценах) или</w:t>
      </w:r>
      <w:r w:rsidRPr="00EC20F8">
        <w:rPr>
          <w:rFonts w:ascii="Times New Roman" w:hAnsi="Times New Roman" w:cs="Times New Roman"/>
          <w:sz w:val="28"/>
          <w:szCs w:val="28"/>
        </w:rPr>
        <w:t xml:space="preserve"> 88,7 % общего объема отгруженной продукции обрабатывающих производств  городского округа.  </w:t>
      </w:r>
    </w:p>
    <w:p w:rsidR="0014344F" w:rsidRPr="00EC20F8" w:rsidRDefault="0014344F" w:rsidP="0014344F">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Второй по значимости отраслью обрабатывающих производств является производство транспортных средств и оборудования, включающее судоремонт. Отраслью в 2013 году произведено продукции на сумму 1168,1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w:t>
      </w:r>
      <w:r w:rsidRPr="00EC20F8">
        <w:rPr>
          <w:rFonts w:ascii="Times New Roman" w:eastAsia="Times New Roman" w:hAnsi="Times New Roman" w:cs="Times New Roman"/>
          <w:sz w:val="28"/>
          <w:szCs w:val="28"/>
          <w:lang w:eastAsia="ru-RU"/>
        </w:rPr>
        <w:t xml:space="preserve">, индекс  производства составил 83,7 %. </w:t>
      </w:r>
      <w:r w:rsidRPr="00EC20F8">
        <w:rPr>
          <w:rFonts w:ascii="Times New Roman" w:hAnsi="Times New Roman" w:cs="Times New Roman"/>
          <w:sz w:val="28"/>
          <w:szCs w:val="28"/>
        </w:rPr>
        <w:t xml:space="preserve">Удельный вес судоремонта в объеме обрабатывающих производств снизился и </w:t>
      </w:r>
      <w:r w:rsidR="00511BAE" w:rsidRPr="00EC20F8">
        <w:rPr>
          <w:rFonts w:ascii="Times New Roman" w:hAnsi="Times New Roman" w:cs="Times New Roman"/>
          <w:sz w:val="28"/>
          <w:szCs w:val="28"/>
        </w:rPr>
        <w:t xml:space="preserve">составил   </w:t>
      </w:r>
      <w:r w:rsidRPr="00EC20F8">
        <w:rPr>
          <w:rFonts w:ascii="Times New Roman" w:hAnsi="Times New Roman" w:cs="Times New Roman"/>
          <w:sz w:val="28"/>
          <w:szCs w:val="28"/>
        </w:rPr>
        <w:t>4,7</w:t>
      </w:r>
      <w:r w:rsidR="00511BAE" w:rsidRPr="00EC20F8">
        <w:rPr>
          <w:rFonts w:ascii="Times New Roman" w:hAnsi="Times New Roman" w:cs="Times New Roman"/>
          <w:sz w:val="28"/>
          <w:szCs w:val="28"/>
        </w:rPr>
        <w:t xml:space="preserve"> </w:t>
      </w:r>
      <w:r w:rsidRPr="00EC20F8">
        <w:rPr>
          <w:rFonts w:ascii="Times New Roman" w:hAnsi="Times New Roman" w:cs="Times New Roman"/>
          <w:sz w:val="28"/>
          <w:szCs w:val="28"/>
        </w:rPr>
        <w:t xml:space="preserve">% (5,4 % - 2012 год). </w:t>
      </w:r>
    </w:p>
    <w:p w:rsidR="0014344F" w:rsidRPr="00EC20F8" w:rsidRDefault="0014344F" w:rsidP="0014344F">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По состоянию на 01.01.2013 на учете в составе </w:t>
      </w:r>
      <w:proofErr w:type="spellStart"/>
      <w:r w:rsidRPr="00EC20F8">
        <w:rPr>
          <w:rFonts w:ascii="Times New Roman" w:hAnsi="Times New Roman" w:cs="Times New Roman"/>
          <w:sz w:val="28"/>
          <w:szCs w:val="28"/>
        </w:rPr>
        <w:t>Статрегистра</w:t>
      </w:r>
      <w:proofErr w:type="spellEnd"/>
      <w:r w:rsidRPr="00EC20F8">
        <w:rPr>
          <w:rFonts w:ascii="Times New Roman" w:hAnsi="Times New Roman" w:cs="Times New Roman"/>
          <w:sz w:val="28"/>
          <w:szCs w:val="28"/>
        </w:rPr>
        <w:t xml:space="preserve"> находится 576 крупных и средних </w:t>
      </w:r>
      <w:r w:rsidR="00511BAE" w:rsidRPr="00EC20F8">
        <w:rPr>
          <w:rFonts w:ascii="Times New Roman" w:hAnsi="Times New Roman" w:cs="Times New Roman"/>
          <w:sz w:val="28"/>
          <w:szCs w:val="28"/>
        </w:rPr>
        <w:t xml:space="preserve">предприятий </w:t>
      </w:r>
      <w:r w:rsidRPr="00EC20F8">
        <w:rPr>
          <w:rFonts w:ascii="Times New Roman" w:hAnsi="Times New Roman" w:cs="Times New Roman"/>
          <w:sz w:val="28"/>
          <w:szCs w:val="28"/>
        </w:rPr>
        <w:t>обрабатывающих производств. Среднегодовая численность работников составила 8</w:t>
      </w:r>
      <w:r w:rsidR="00511BAE" w:rsidRPr="00EC20F8">
        <w:rPr>
          <w:rFonts w:ascii="Times New Roman" w:hAnsi="Times New Roman" w:cs="Times New Roman"/>
          <w:sz w:val="28"/>
          <w:szCs w:val="28"/>
        </w:rPr>
        <w:t xml:space="preserve"> </w:t>
      </w:r>
      <w:r w:rsidRPr="00EC20F8">
        <w:rPr>
          <w:rFonts w:ascii="Times New Roman" w:hAnsi="Times New Roman" w:cs="Times New Roman"/>
          <w:sz w:val="28"/>
          <w:szCs w:val="28"/>
        </w:rPr>
        <w:t>137 человек (89,4 % от численности работающих 2012 года). Среднемесячная номинальная начисленная заработная плата составила</w:t>
      </w:r>
      <w:r w:rsidR="00511BAE" w:rsidRPr="00EC20F8">
        <w:rPr>
          <w:rFonts w:ascii="Times New Roman" w:hAnsi="Times New Roman" w:cs="Times New Roman"/>
          <w:sz w:val="28"/>
          <w:szCs w:val="28"/>
        </w:rPr>
        <w:t xml:space="preserve"> </w:t>
      </w:r>
      <w:r w:rsidRPr="00EC20F8">
        <w:rPr>
          <w:rFonts w:ascii="Times New Roman" w:hAnsi="Times New Roman" w:cs="Times New Roman"/>
          <w:sz w:val="28"/>
          <w:szCs w:val="28"/>
        </w:rPr>
        <w:t>61 160 рублей (114,1 % к уровню 2012 года).</w:t>
      </w:r>
    </w:p>
    <w:p w:rsidR="0014344F" w:rsidRPr="00EC20F8" w:rsidRDefault="0014344F" w:rsidP="0014344F">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Сальдированный финансовый результат крупных и средних организаций </w:t>
      </w:r>
      <w:r w:rsidR="00C307C1" w:rsidRPr="00EC20F8">
        <w:rPr>
          <w:rFonts w:ascii="Times New Roman" w:hAnsi="Times New Roman" w:cs="Times New Roman"/>
          <w:sz w:val="28"/>
          <w:szCs w:val="28"/>
        </w:rPr>
        <w:t>обрабатывающих производств</w:t>
      </w:r>
      <w:r w:rsidRPr="00EC20F8">
        <w:rPr>
          <w:rFonts w:ascii="Times New Roman" w:hAnsi="Times New Roman" w:cs="Times New Roman"/>
          <w:sz w:val="28"/>
          <w:szCs w:val="28"/>
        </w:rPr>
        <w:t xml:space="preserve"> составил 410,3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(2011 году – 240,1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2012 году – 682,2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Удельный вес убыточных организаций обрабатывающих производств составил 33 %, в том числе доля убыточных организаций в </w:t>
      </w:r>
      <w:proofErr w:type="spellStart"/>
      <w:r w:rsidRPr="00EC20F8">
        <w:rPr>
          <w:rFonts w:ascii="Times New Roman" w:hAnsi="Times New Roman" w:cs="Times New Roman"/>
          <w:sz w:val="28"/>
          <w:szCs w:val="28"/>
        </w:rPr>
        <w:t>рыбоперер</w:t>
      </w:r>
      <w:r w:rsidR="00511BAE" w:rsidRPr="00EC20F8">
        <w:rPr>
          <w:rFonts w:ascii="Times New Roman" w:hAnsi="Times New Roman" w:cs="Times New Roman"/>
          <w:sz w:val="28"/>
          <w:szCs w:val="28"/>
        </w:rPr>
        <w:t>абатывающей</w:t>
      </w:r>
      <w:proofErr w:type="spellEnd"/>
      <w:r w:rsidR="00511BAE" w:rsidRPr="00EC20F8">
        <w:rPr>
          <w:rFonts w:ascii="Times New Roman" w:hAnsi="Times New Roman" w:cs="Times New Roman"/>
          <w:sz w:val="28"/>
          <w:szCs w:val="28"/>
        </w:rPr>
        <w:t xml:space="preserve"> отрасли  – 55,6 %, </w:t>
      </w:r>
      <w:r w:rsidRPr="00EC20F8">
        <w:rPr>
          <w:rFonts w:ascii="Times New Roman" w:hAnsi="Times New Roman" w:cs="Times New Roman"/>
          <w:sz w:val="28"/>
          <w:szCs w:val="28"/>
        </w:rPr>
        <w:t xml:space="preserve">в сфере производства и ремонта транспортных средств и оборудования – 50 %.  </w:t>
      </w:r>
    </w:p>
    <w:p w:rsidR="0014344F" w:rsidRPr="00EC20F8" w:rsidRDefault="0014344F" w:rsidP="0014344F">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В целом в обрабатывающ</w:t>
      </w:r>
      <w:r w:rsidR="00A6380D" w:rsidRPr="00EC20F8">
        <w:rPr>
          <w:rFonts w:ascii="Times New Roman" w:hAnsi="Times New Roman" w:cs="Times New Roman"/>
          <w:sz w:val="28"/>
          <w:szCs w:val="28"/>
        </w:rPr>
        <w:t>ем</w:t>
      </w:r>
      <w:r w:rsidRPr="00EC20F8">
        <w:rPr>
          <w:rFonts w:ascii="Times New Roman" w:hAnsi="Times New Roman" w:cs="Times New Roman"/>
          <w:sz w:val="28"/>
          <w:szCs w:val="28"/>
        </w:rPr>
        <w:t xml:space="preserve"> </w:t>
      </w:r>
      <w:r w:rsidR="00A6380D" w:rsidRPr="00EC20F8">
        <w:rPr>
          <w:rFonts w:ascii="Times New Roman" w:hAnsi="Times New Roman" w:cs="Times New Roman"/>
          <w:sz w:val="28"/>
          <w:szCs w:val="28"/>
        </w:rPr>
        <w:t>секторе</w:t>
      </w:r>
      <w:r w:rsidRPr="00EC20F8">
        <w:rPr>
          <w:rFonts w:ascii="Times New Roman" w:hAnsi="Times New Roman" w:cs="Times New Roman"/>
          <w:sz w:val="28"/>
          <w:szCs w:val="28"/>
        </w:rPr>
        <w:t xml:space="preserve"> объем отгруженных товаров собственного производства в 2014 году оценивается в размере 25 961,75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Индекс производства планируется на уровне 100,7 %. </w:t>
      </w:r>
    </w:p>
    <w:p w:rsidR="0014344F" w:rsidRPr="00EC20F8" w:rsidRDefault="0014344F" w:rsidP="0014344F">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На предприятиях по производству пищевых продуктов индекс производства продукции по оценке составит 101,0 %. Предполагается, что объем отгруженной продукции сложится в объеме 23016,9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Судоремонтными предприятиями в 2014 году будет выполнено работ и оказано услуг на 1 226,01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Индекс производства составит 98,7 %. </w:t>
      </w:r>
    </w:p>
    <w:p w:rsidR="0014344F" w:rsidRPr="00EC20F8" w:rsidRDefault="0014344F" w:rsidP="0014344F">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b/>
          <w:i/>
          <w:sz w:val="28"/>
          <w:szCs w:val="28"/>
        </w:rPr>
        <w:t xml:space="preserve">Прогнозируется, что в обрабатывающих производствах по первому варианту прогноза </w:t>
      </w:r>
      <w:r w:rsidRPr="00EC20F8">
        <w:rPr>
          <w:rFonts w:ascii="Times New Roman" w:hAnsi="Times New Roman" w:cs="Times New Roman"/>
          <w:sz w:val="28"/>
          <w:szCs w:val="28"/>
        </w:rPr>
        <w:t>(рис. 3.</w:t>
      </w:r>
      <w:r w:rsidR="00C307C1" w:rsidRPr="00EC20F8">
        <w:rPr>
          <w:rFonts w:ascii="Times New Roman" w:hAnsi="Times New Roman" w:cs="Times New Roman"/>
          <w:sz w:val="28"/>
          <w:szCs w:val="28"/>
        </w:rPr>
        <w:t>3</w:t>
      </w:r>
      <w:r w:rsidRPr="00EC20F8">
        <w:rPr>
          <w:rFonts w:ascii="Times New Roman" w:hAnsi="Times New Roman" w:cs="Times New Roman"/>
          <w:sz w:val="28"/>
          <w:szCs w:val="28"/>
        </w:rPr>
        <w:t>.)</w:t>
      </w:r>
      <w:r w:rsidRPr="00EC20F8">
        <w:rPr>
          <w:rFonts w:ascii="Times New Roman" w:hAnsi="Times New Roman" w:cs="Times New Roman"/>
          <w:b/>
          <w:i/>
          <w:sz w:val="28"/>
          <w:szCs w:val="28"/>
        </w:rPr>
        <w:t xml:space="preserve"> </w:t>
      </w:r>
      <w:r w:rsidRPr="00EC20F8">
        <w:rPr>
          <w:rFonts w:ascii="Times New Roman" w:hAnsi="Times New Roman" w:cs="Times New Roman"/>
          <w:sz w:val="28"/>
          <w:szCs w:val="28"/>
        </w:rPr>
        <w:t xml:space="preserve">объем отгруженных товаров собственного производства сложится в 2015 году в размере 27 212,4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в 2016 году – 28</w:t>
      </w:r>
      <w:r w:rsidR="00C307C1" w:rsidRPr="00EC20F8">
        <w:rPr>
          <w:rFonts w:ascii="Times New Roman" w:hAnsi="Times New Roman" w:cs="Times New Roman"/>
          <w:sz w:val="28"/>
          <w:szCs w:val="28"/>
        </w:rPr>
        <w:t> 700,38</w:t>
      </w:r>
      <w:r w:rsidRPr="00EC20F8">
        <w:rPr>
          <w:rFonts w:ascii="Times New Roman" w:hAnsi="Times New Roman" w:cs="Times New Roman"/>
          <w:sz w:val="28"/>
          <w:szCs w:val="28"/>
        </w:rPr>
        <w:t xml:space="preserve">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в 2017 году – 30</w:t>
      </w:r>
      <w:r w:rsidR="00C307C1" w:rsidRPr="00EC20F8">
        <w:rPr>
          <w:rFonts w:ascii="Times New Roman" w:hAnsi="Times New Roman" w:cs="Times New Roman"/>
          <w:sz w:val="28"/>
          <w:szCs w:val="28"/>
        </w:rPr>
        <w:t> 314,22</w:t>
      </w:r>
      <w:r w:rsidRPr="00EC20F8">
        <w:rPr>
          <w:rFonts w:ascii="Times New Roman" w:hAnsi="Times New Roman" w:cs="Times New Roman"/>
          <w:sz w:val="28"/>
          <w:szCs w:val="28"/>
        </w:rPr>
        <w:t xml:space="preserve">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Индек</w:t>
      </w:r>
      <w:r w:rsidR="00511BAE" w:rsidRPr="00EC20F8">
        <w:rPr>
          <w:rFonts w:ascii="Times New Roman" w:hAnsi="Times New Roman" w:cs="Times New Roman"/>
          <w:sz w:val="28"/>
          <w:szCs w:val="28"/>
        </w:rPr>
        <w:t xml:space="preserve">с производства прогнозируется </w:t>
      </w:r>
      <w:r w:rsidRPr="00EC20F8">
        <w:rPr>
          <w:rFonts w:ascii="Times New Roman" w:hAnsi="Times New Roman" w:cs="Times New Roman"/>
          <w:sz w:val="28"/>
          <w:szCs w:val="28"/>
        </w:rPr>
        <w:t>в 2015 году на уровне 100,6</w:t>
      </w:r>
      <w:r w:rsidR="00511BAE" w:rsidRPr="00EC20F8">
        <w:rPr>
          <w:rFonts w:ascii="Times New Roman" w:hAnsi="Times New Roman" w:cs="Times New Roman"/>
          <w:sz w:val="28"/>
          <w:szCs w:val="28"/>
        </w:rPr>
        <w:t xml:space="preserve"> %, в </w:t>
      </w:r>
      <w:r w:rsidRPr="00EC20F8">
        <w:rPr>
          <w:rFonts w:ascii="Times New Roman" w:hAnsi="Times New Roman" w:cs="Times New Roman"/>
          <w:sz w:val="28"/>
          <w:szCs w:val="28"/>
        </w:rPr>
        <w:t>2016 году – на уровне 101,4</w:t>
      </w:r>
      <w:r w:rsidR="00511BAE" w:rsidRPr="00EC20F8">
        <w:rPr>
          <w:rFonts w:ascii="Times New Roman" w:hAnsi="Times New Roman" w:cs="Times New Roman"/>
          <w:sz w:val="28"/>
          <w:szCs w:val="28"/>
        </w:rPr>
        <w:t xml:space="preserve"> %, в</w:t>
      </w:r>
      <w:r w:rsidRPr="00EC20F8">
        <w:rPr>
          <w:rFonts w:ascii="Times New Roman" w:hAnsi="Times New Roman" w:cs="Times New Roman"/>
          <w:sz w:val="28"/>
          <w:szCs w:val="28"/>
        </w:rPr>
        <w:t xml:space="preserve"> 2017 году – на уровне 102,0 %. </w:t>
      </w:r>
    </w:p>
    <w:p w:rsidR="007027FE" w:rsidRPr="00EC20F8" w:rsidRDefault="007027FE" w:rsidP="0014344F">
      <w:pPr>
        <w:widowControl w:val="0"/>
        <w:spacing w:line="240" w:lineRule="auto"/>
        <w:ind w:firstLine="709"/>
        <w:jc w:val="both"/>
        <w:rPr>
          <w:rFonts w:ascii="Times New Roman" w:hAnsi="Times New Roman" w:cs="Times New Roman"/>
          <w:sz w:val="12"/>
          <w:szCs w:val="12"/>
        </w:rPr>
      </w:pPr>
    </w:p>
    <w:p w:rsidR="007027FE" w:rsidRPr="00EC20F8" w:rsidRDefault="007027FE" w:rsidP="0014344F">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noProof/>
          <w:sz w:val="28"/>
          <w:szCs w:val="28"/>
          <w:bdr w:val="single" w:sz="4" w:space="0" w:color="auto"/>
          <w:lang w:eastAsia="ru-RU"/>
        </w:rPr>
        <w:drawing>
          <wp:inline distT="0" distB="0" distL="0" distR="0">
            <wp:extent cx="5057775" cy="2743200"/>
            <wp:effectExtent l="0" t="0" r="0" b="0"/>
            <wp:docPr id="1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4344F" w:rsidRPr="00EC20F8" w:rsidRDefault="0014344F" w:rsidP="0014344F">
      <w:pPr>
        <w:widowControl w:val="0"/>
        <w:spacing w:line="240" w:lineRule="auto"/>
        <w:ind w:firstLine="284"/>
        <w:jc w:val="both"/>
        <w:rPr>
          <w:rFonts w:ascii="Times New Roman" w:hAnsi="Times New Roman" w:cs="Times New Roman"/>
          <w:sz w:val="12"/>
          <w:szCs w:val="12"/>
        </w:rPr>
      </w:pPr>
    </w:p>
    <w:p w:rsidR="0014344F" w:rsidRPr="00EC20F8" w:rsidRDefault="0014344F" w:rsidP="002F64C0">
      <w:pPr>
        <w:widowControl w:val="0"/>
        <w:spacing w:before="120" w:line="240" w:lineRule="auto"/>
        <w:jc w:val="center"/>
        <w:rPr>
          <w:rFonts w:ascii="Times New Roman" w:hAnsi="Times New Roman" w:cs="Times New Roman"/>
          <w:i/>
          <w:sz w:val="24"/>
          <w:szCs w:val="24"/>
        </w:rPr>
      </w:pPr>
      <w:r w:rsidRPr="00EC20F8">
        <w:rPr>
          <w:rFonts w:ascii="Times New Roman" w:hAnsi="Times New Roman" w:cs="Times New Roman"/>
          <w:i/>
          <w:sz w:val="24"/>
          <w:szCs w:val="24"/>
        </w:rPr>
        <w:t>Рис. 3.</w:t>
      </w:r>
      <w:r w:rsidR="00A6380D" w:rsidRPr="00EC20F8">
        <w:rPr>
          <w:rFonts w:ascii="Times New Roman" w:hAnsi="Times New Roman" w:cs="Times New Roman"/>
          <w:i/>
          <w:sz w:val="24"/>
          <w:szCs w:val="24"/>
        </w:rPr>
        <w:t>3</w:t>
      </w:r>
      <w:r w:rsidRPr="00EC20F8">
        <w:rPr>
          <w:rFonts w:ascii="Times New Roman" w:hAnsi="Times New Roman" w:cs="Times New Roman"/>
          <w:i/>
          <w:sz w:val="24"/>
          <w:szCs w:val="24"/>
        </w:rPr>
        <w:t xml:space="preserve">. </w:t>
      </w:r>
      <w:r w:rsidR="00A6380D" w:rsidRPr="00EC20F8">
        <w:rPr>
          <w:rFonts w:ascii="Times New Roman" w:hAnsi="Times New Roman" w:cs="Times New Roman"/>
          <w:i/>
          <w:sz w:val="24"/>
          <w:szCs w:val="24"/>
        </w:rPr>
        <w:t xml:space="preserve">Объем отгруженной </w:t>
      </w:r>
      <w:r w:rsidRPr="00EC20F8">
        <w:rPr>
          <w:rFonts w:ascii="Times New Roman" w:hAnsi="Times New Roman" w:cs="Times New Roman"/>
          <w:i/>
          <w:sz w:val="24"/>
          <w:szCs w:val="24"/>
        </w:rPr>
        <w:t xml:space="preserve"> продукции собственного производства, организациями  обрабатывающих производств </w:t>
      </w:r>
      <w:proofErr w:type="gramStart"/>
      <w:r w:rsidR="00A6380D" w:rsidRPr="00EC20F8">
        <w:rPr>
          <w:rFonts w:ascii="Times New Roman" w:hAnsi="Times New Roman" w:cs="Times New Roman"/>
          <w:i/>
          <w:sz w:val="24"/>
          <w:szCs w:val="24"/>
        </w:rPr>
        <w:t>Петропавловск-Камчатского</w:t>
      </w:r>
      <w:proofErr w:type="gramEnd"/>
      <w:r w:rsidR="00A6380D" w:rsidRPr="00EC20F8">
        <w:rPr>
          <w:rFonts w:ascii="Times New Roman" w:hAnsi="Times New Roman" w:cs="Times New Roman"/>
          <w:i/>
          <w:sz w:val="24"/>
          <w:szCs w:val="24"/>
        </w:rPr>
        <w:t xml:space="preserve"> городского округа                         (</w:t>
      </w:r>
      <w:r w:rsidRPr="00EC20F8">
        <w:rPr>
          <w:rFonts w:ascii="Times New Roman" w:hAnsi="Times New Roman" w:cs="Times New Roman"/>
          <w:i/>
          <w:sz w:val="24"/>
          <w:szCs w:val="24"/>
        </w:rPr>
        <w:t>по полному кругу производителей</w:t>
      </w:r>
      <w:r w:rsidR="00A6380D" w:rsidRPr="00EC20F8">
        <w:rPr>
          <w:rFonts w:ascii="Times New Roman" w:hAnsi="Times New Roman" w:cs="Times New Roman"/>
          <w:i/>
          <w:sz w:val="24"/>
          <w:szCs w:val="24"/>
        </w:rPr>
        <w:t>)</w:t>
      </w:r>
    </w:p>
    <w:p w:rsidR="0014344F" w:rsidRPr="00EC20F8" w:rsidRDefault="0014344F" w:rsidP="0014344F">
      <w:pPr>
        <w:widowControl w:val="0"/>
        <w:spacing w:line="240" w:lineRule="auto"/>
        <w:ind w:firstLine="709"/>
        <w:jc w:val="both"/>
        <w:rPr>
          <w:rFonts w:ascii="Times New Roman" w:hAnsi="Times New Roman" w:cs="Times New Roman"/>
          <w:sz w:val="28"/>
          <w:szCs w:val="28"/>
        </w:rPr>
      </w:pPr>
    </w:p>
    <w:p w:rsidR="0014344F" w:rsidRPr="00EC20F8" w:rsidRDefault="0014344F" w:rsidP="0014344F">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В структуре обрабатывающих производств основные объемы выпуска будут сформированы предприятиями по производству пищевых продуктов (88,6 %) и судоремонтными предприятиями (4,7 %).  </w:t>
      </w:r>
    </w:p>
    <w:p w:rsidR="0014344F" w:rsidRPr="00EC20F8" w:rsidRDefault="0014344F" w:rsidP="0014344F">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i/>
          <w:sz w:val="28"/>
          <w:szCs w:val="28"/>
        </w:rPr>
        <w:t>На предприятиях по производству пищевых продуктов, включая напитки,</w:t>
      </w:r>
      <w:r w:rsidRPr="00EC20F8">
        <w:rPr>
          <w:rFonts w:ascii="Times New Roman" w:hAnsi="Times New Roman" w:cs="Times New Roman"/>
          <w:sz w:val="28"/>
          <w:szCs w:val="28"/>
        </w:rPr>
        <w:t xml:space="preserve"> индекс производства продукции составит 100,3 % в 2015</w:t>
      </w:r>
      <w:r w:rsidR="00511BAE" w:rsidRPr="00EC20F8">
        <w:rPr>
          <w:rFonts w:ascii="Times New Roman" w:hAnsi="Times New Roman" w:cs="Times New Roman"/>
          <w:sz w:val="28"/>
          <w:szCs w:val="28"/>
        </w:rPr>
        <w:t xml:space="preserve"> году, </w:t>
      </w:r>
      <w:r w:rsidRPr="00EC20F8">
        <w:rPr>
          <w:rFonts w:ascii="Times New Roman" w:hAnsi="Times New Roman" w:cs="Times New Roman"/>
          <w:sz w:val="28"/>
          <w:szCs w:val="28"/>
        </w:rPr>
        <w:t>101,0 % - в 2016 году, 102,5 % – в 2017 году. Объем отгруженной продукции, по прогнозу, составит 24 113,3</w:t>
      </w:r>
      <w:r w:rsidR="00511BAE" w:rsidRPr="00EC20F8">
        <w:rPr>
          <w:rFonts w:ascii="Times New Roman" w:hAnsi="Times New Roman" w:cs="Times New Roman"/>
          <w:sz w:val="28"/>
          <w:szCs w:val="28"/>
        </w:rPr>
        <w:t xml:space="preserve">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в 2015 году, 25 419,9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 в 2016 году, 26 837,1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 в 2017 году.</w:t>
      </w:r>
    </w:p>
    <w:p w:rsidR="0014344F" w:rsidRPr="00EC20F8" w:rsidRDefault="0014344F" w:rsidP="0014344F">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Производство рыбы и продуктов рыбных переработанных и консервированных в 2015 году прогнозируется в объеме 388,34 тысяч тонн, в 2016 году – 404,03 тысяч тонн, в 2017 году – 421,68 тысяч тонн. В структуре производства рыбных товаров возрастет доля продукции вторичной переработки: филе рыбного, балычных изделий, сельди всех видов обработки. </w:t>
      </w:r>
    </w:p>
    <w:p w:rsidR="0014344F" w:rsidRPr="00EC20F8" w:rsidRDefault="0014344F" w:rsidP="0014344F">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i/>
          <w:sz w:val="28"/>
          <w:szCs w:val="28"/>
        </w:rPr>
        <w:t xml:space="preserve"> На предприятиях по производству и ремонту транспортных средств и оборудования</w:t>
      </w:r>
      <w:r w:rsidR="00511BAE" w:rsidRPr="00EC20F8">
        <w:rPr>
          <w:rFonts w:ascii="Times New Roman" w:hAnsi="Times New Roman" w:cs="Times New Roman"/>
          <w:sz w:val="28"/>
          <w:szCs w:val="28"/>
        </w:rPr>
        <w:t xml:space="preserve"> объем </w:t>
      </w:r>
      <w:r w:rsidRPr="00EC20F8">
        <w:rPr>
          <w:rFonts w:ascii="Times New Roman" w:hAnsi="Times New Roman" w:cs="Times New Roman"/>
          <w:sz w:val="28"/>
          <w:szCs w:val="28"/>
        </w:rPr>
        <w:t>отгруженной продукции оценивается в 2</w:t>
      </w:r>
      <w:r w:rsidR="00511BAE" w:rsidRPr="00EC20F8">
        <w:rPr>
          <w:rFonts w:ascii="Times New Roman" w:hAnsi="Times New Roman" w:cs="Times New Roman"/>
          <w:sz w:val="28"/>
          <w:szCs w:val="28"/>
        </w:rPr>
        <w:t xml:space="preserve">015 году в            1 291,52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w:t>
      </w:r>
      <w:r w:rsidR="00511BAE" w:rsidRPr="00EC20F8">
        <w:rPr>
          <w:rFonts w:ascii="Times New Roman" w:hAnsi="Times New Roman" w:cs="Times New Roman"/>
          <w:sz w:val="28"/>
          <w:szCs w:val="28"/>
        </w:rPr>
        <w:t xml:space="preserve">рублей, в 2016 году – 1 364,66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в 2017 году –                 1 446,24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И</w:t>
      </w:r>
      <w:r w:rsidR="00511BAE" w:rsidRPr="00EC20F8">
        <w:rPr>
          <w:rFonts w:ascii="Times New Roman" w:hAnsi="Times New Roman" w:cs="Times New Roman"/>
          <w:sz w:val="28"/>
          <w:szCs w:val="28"/>
        </w:rPr>
        <w:t xml:space="preserve">ндекс производства в </w:t>
      </w:r>
      <w:r w:rsidRPr="00EC20F8">
        <w:rPr>
          <w:rFonts w:ascii="Times New Roman" w:hAnsi="Times New Roman" w:cs="Times New Roman"/>
          <w:sz w:val="28"/>
          <w:szCs w:val="28"/>
        </w:rPr>
        <w:t>2015 году составит 9</w:t>
      </w:r>
      <w:r w:rsidR="00511BAE" w:rsidRPr="00EC20F8">
        <w:rPr>
          <w:rFonts w:ascii="Times New Roman" w:hAnsi="Times New Roman" w:cs="Times New Roman"/>
          <w:sz w:val="28"/>
          <w:szCs w:val="28"/>
        </w:rPr>
        <w:t xml:space="preserve">9,1 %, в 2016 году – 99,6 %, в </w:t>
      </w:r>
      <w:r w:rsidRPr="00EC20F8">
        <w:rPr>
          <w:rFonts w:ascii="Times New Roman" w:hAnsi="Times New Roman" w:cs="Times New Roman"/>
          <w:sz w:val="28"/>
          <w:szCs w:val="28"/>
        </w:rPr>
        <w:t xml:space="preserve">2017 году – 100,1 %. </w:t>
      </w:r>
    </w:p>
    <w:p w:rsidR="0014344F" w:rsidRPr="00EC20F8" w:rsidRDefault="0014344F" w:rsidP="0014344F">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Рост производства в судоремонтной отрасли зависит от потребности рыбодобывающих предприятий и организаций в услугах судоремонта. Судоремонтными предприятиями обслуживается рыбопромысловый, научный и прочий флот, при этом большая часть судов находится в эксплуатации свыше 20 лет. В случае технического перевооружения судоремонтных предприятий отрасль имеет перспективы для более значительного увеличения производства.</w:t>
      </w:r>
    </w:p>
    <w:p w:rsidR="0014344F" w:rsidRPr="00EC20F8" w:rsidRDefault="0014344F" w:rsidP="0014344F">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b/>
          <w:i/>
          <w:sz w:val="28"/>
          <w:szCs w:val="28"/>
        </w:rPr>
        <w:t>По второму варианту прогноза</w:t>
      </w:r>
      <w:r w:rsidRPr="00EC20F8">
        <w:rPr>
          <w:rFonts w:ascii="Times New Roman" w:hAnsi="Times New Roman" w:cs="Times New Roman"/>
          <w:sz w:val="28"/>
          <w:szCs w:val="28"/>
        </w:rPr>
        <w:t xml:space="preserve"> объем отгруженных товаров собственного производства </w:t>
      </w:r>
      <w:r w:rsidRPr="00EC20F8">
        <w:rPr>
          <w:rFonts w:ascii="Times New Roman" w:hAnsi="Times New Roman" w:cs="Times New Roman"/>
          <w:i/>
          <w:sz w:val="28"/>
          <w:szCs w:val="28"/>
        </w:rPr>
        <w:t>обрабатывающих отраслей</w:t>
      </w:r>
      <w:r w:rsidR="00511BAE" w:rsidRPr="00EC20F8">
        <w:rPr>
          <w:rFonts w:ascii="Times New Roman" w:hAnsi="Times New Roman" w:cs="Times New Roman"/>
          <w:sz w:val="28"/>
          <w:szCs w:val="28"/>
        </w:rPr>
        <w:t xml:space="preserve"> </w:t>
      </w:r>
      <w:r w:rsidRPr="00EC20F8">
        <w:rPr>
          <w:rFonts w:ascii="Times New Roman" w:hAnsi="Times New Roman" w:cs="Times New Roman"/>
          <w:sz w:val="28"/>
          <w:szCs w:val="28"/>
        </w:rPr>
        <w:t>оценивается в 2015 году в размере 27</w:t>
      </w:r>
      <w:r w:rsidR="00F824C8" w:rsidRPr="00EC20F8">
        <w:rPr>
          <w:rFonts w:ascii="Times New Roman" w:hAnsi="Times New Roman" w:cs="Times New Roman"/>
          <w:sz w:val="28"/>
          <w:szCs w:val="28"/>
        </w:rPr>
        <w:t xml:space="preserve"> 593,18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в 2016 году – 29</w:t>
      </w:r>
      <w:r w:rsidR="00F824C8" w:rsidRPr="00EC20F8">
        <w:rPr>
          <w:rFonts w:ascii="Times New Roman" w:hAnsi="Times New Roman" w:cs="Times New Roman"/>
          <w:sz w:val="28"/>
          <w:szCs w:val="28"/>
        </w:rPr>
        <w:t> 248,03</w:t>
      </w:r>
      <w:r w:rsidRPr="00EC20F8">
        <w:rPr>
          <w:rFonts w:ascii="Times New Roman" w:hAnsi="Times New Roman" w:cs="Times New Roman"/>
          <w:sz w:val="28"/>
          <w:szCs w:val="28"/>
        </w:rPr>
        <w:t xml:space="preserve">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в 2017 году – 30 971,</w:t>
      </w:r>
      <w:r w:rsidR="00F824C8" w:rsidRPr="00EC20F8">
        <w:rPr>
          <w:rFonts w:ascii="Times New Roman" w:hAnsi="Times New Roman" w:cs="Times New Roman"/>
          <w:sz w:val="28"/>
          <w:szCs w:val="28"/>
        </w:rPr>
        <w:t>99</w:t>
      </w:r>
      <w:r w:rsidRPr="00EC20F8">
        <w:rPr>
          <w:rFonts w:ascii="Times New Roman" w:hAnsi="Times New Roman" w:cs="Times New Roman"/>
          <w:sz w:val="28"/>
          <w:szCs w:val="28"/>
        </w:rPr>
        <w:t xml:space="preserve">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Индекс производства прогнозируется на уровне 102,0</w:t>
      </w:r>
      <w:r w:rsidR="00511BAE" w:rsidRPr="00EC20F8">
        <w:rPr>
          <w:rFonts w:ascii="Times New Roman" w:hAnsi="Times New Roman" w:cs="Times New Roman"/>
          <w:sz w:val="28"/>
          <w:szCs w:val="28"/>
        </w:rPr>
        <w:t xml:space="preserve"> </w:t>
      </w:r>
      <w:r w:rsidRPr="00EC20F8">
        <w:rPr>
          <w:rFonts w:ascii="Times New Roman" w:hAnsi="Times New Roman" w:cs="Times New Roman"/>
          <w:sz w:val="28"/>
          <w:szCs w:val="28"/>
        </w:rPr>
        <w:t xml:space="preserve">% в 2015 году, 102,9 % – в 2016 году, 103,0 % – в 2017 году. </w:t>
      </w:r>
    </w:p>
    <w:p w:rsidR="0014344F" w:rsidRPr="00EC20F8" w:rsidRDefault="0014344F" w:rsidP="0014344F">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i/>
          <w:sz w:val="28"/>
          <w:szCs w:val="28"/>
        </w:rPr>
        <w:t>На предприятиях по производству пищевых продуктов</w:t>
      </w:r>
      <w:r w:rsidRPr="00EC20F8">
        <w:rPr>
          <w:rFonts w:ascii="Times New Roman" w:hAnsi="Times New Roman" w:cs="Times New Roman"/>
          <w:sz w:val="28"/>
          <w:szCs w:val="28"/>
        </w:rPr>
        <w:t>, включая напитки, индекс производства продукции составит 101,9 % в 2015</w:t>
      </w:r>
      <w:r w:rsidR="00511BAE" w:rsidRPr="00EC20F8">
        <w:rPr>
          <w:rFonts w:ascii="Times New Roman" w:hAnsi="Times New Roman" w:cs="Times New Roman"/>
          <w:sz w:val="28"/>
          <w:szCs w:val="28"/>
        </w:rPr>
        <w:t xml:space="preserve"> году,  </w:t>
      </w:r>
      <w:r w:rsidRPr="00EC20F8">
        <w:rPr>
          <w:rFonts w:ascii="Times New Roman" w:hAnsi="Times New Roman" w:cs="Times New Roman"/>
          <w:sz w:val="28"/>
          <w:szCs w:val="28"/>
        </w:rPr>
        <w:t>103,2 % – в 2016 году, 103,5 % – в 2017 году. Объем отгруженной продукции по прогнозу составит 24 453,4</w:t>
      </w:r>
      <w:r w:rsidRPr="00EC20F8">
        <w:rPr>
          <w:rFonts w:ascii="Times New Roman" w:eastAsia="Times New Roman" w:hAnsi="Times New Roman" w:cs="Times New Roman"/>
          <w:sz w:val="18"/>
          <w:szCs w:val="18"/>
          <w:lang w:eastAsia="ru-RU"/>
        </w:rPr>
        <w:t xml:space="preserve">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в 2015</w:t>
      </w:r>
      <w:r w:rsidR="00511BAE" w:rsidRPr="00EC20F8">
        <w:rPr>
          <w:rFonts w:ascii="Times New Roman" w:hAnsi="Times New Roman" w:cs="Times New Roman"/>
          <w:sz w:val="28"/>
          <w:szCs w:val="28"/>
        </w:rPr>
        <w:t xml:space="preserve"> году, </w:t>
      </w:r>
      <w:r w:rsidRPr="00EC20F8">
        <w:rPr>
          <w:rFonts w:ascii="Times New Roman" w:hAnsi="Times New Roman" w:cs="Times New Roman"/>
          <w:sz w:val="28"/>
          <w:szCs w:val="28"/>
        </w:rPr>
        <w:t>25 892,0</w:t>
      </w:r>
      <w:r w:rsidR="00511BAE" w:rsidRPr="00EC20F8">
        <w:rPr>
          <w:rFonts w:ascii="Times New Roman" w:hAnsi="Times New Roman" w:cs="Times New Roman"/>
          <w:sz w:val="28"/>
          <w:szCs w:val="28"/>
        </w:rPr>
        <w:t xml:space="preserve">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 в 2016 году, 27 414,6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 в 2017 году. Производство рыбы и продуктов рыбных переработанных и консервированных в 2015 году прогнозируется в объеме 412,14 тысяч тонн, в 2016 году – 424,3 тысяч тонн, в 2017 году – 439,66 тысяч тонн. </w:t>
      </w:r>
    </w:p>
    <w:p w:rsidR="0014344F" w:rsidRPr="00EC20F8" w:rsidRDefault="0014344F" w:rsidP="0014344F">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i/>
          <w:sz w:val="28"/>
          <w:szCs w:val="28"/>
        </w:rPr>
        <w:t>На предприятиях по производству и ремонту транспортных средств и оборудования</w:t>
      </w:r>
      <w:r w:rsidRPr="00EC20F8">
        <w:rPr>
          <w:rFonts w:ascii="Times New Roman" w:hAnsi="Times New Roman" w:cs="Times New Roman"/>
          <w:sz w:val="28"/>
          <w:szCs w:val="28"/>
        </w:rPr>
        <w:t xml:space="preserve"> объем отгруженной продукции оценивается в 2015 году на уровне 1303,08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в 2016 году – 1 389,08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в 2017 году – 1 475,03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Индекс производства в 2015 году составит 100,6 %, в 2016 году – 102,0</w:t>
      </w:r>
      <w:r w:rsidR="00511BAE" w:rsidRPr="00EC20F8">
        <w:rPr>
          <w:rFonts w:ascii="Times New Roman" w:hAnsi="Times New Roman" w:cs="Times New Roman"/>
          <w:sz w:val="28"/>
          <w:szCs w:val="28"/>
        </w:rPr>
        <w:t xml:space="preserve"> %, в </w:t>
      </w:r>
      <w:r w:rsidRPr="00EC20F8">
        <w:rPr>
          <w:rFonts w:ascii="Times New Roman" w:hAnsi="Times New Roman" w:cs="Times New Roman"/>
          <w:sz w:val="28"/>
          <w:szCs w:val="28"/>
        </w:rPr>
        <w:t xml:space="preserve">2016 году – 102,3 %. </w:t>
      </w:r>
    </w:p>
    <w:p w:rsidR="0014344F" w:rsidRPr="00EC20F8" w:rsidRDefault="0014344F" w:rsidP="0014344F">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b/>
          <w:i/>
          <w:sz w:val="28"/>
          <w:szCs w:val="28"/>
        </w:rPr>
        <w:t>Производство и распределе</w:t>
      </w:r>
      <w:r w:rsidR="00511BAE" w:rsidRPr="00EC20F8">
        <w:rPr>
          <w:rFonts w:ascii="Times New Roman" w:hAnsi="Times New Roman" w:cs="Times New Roman"/>
          <w:b/>
          <w:i/>
          <w:sz w:val="28"/>
          <w:szCs w:val="28"/>
        </w:rPr>
        <w:t>ние электроэнергии, газа и воды</w:t>
      </w:r>
      <w:r w:rsidRPr="00EC20F8">
        <w:rPr>
          <w:rFonts w:ascii="Times New Roman" w:hAnsi="Times New Roman" w:cs="Times New Roman"/>
          <w:b/>
          <w:i/>
          <w:sz w:val="28"/>
          <w:szCs w:val="28"/>
        </w:rPr>
        <w:t xml:space="preserve"> </w:t>
      </w:r>
      <w:r w:rsidRPr="00EC20F8">
        <w:rPr>
          <w:rFonts w:ascii="Times New Roman" w:hAnsi="Times New Roman" w:cs="Times New Roman"/>
          <w:sz w:val="28"/>
          <w:szCs w:val="28"/>
        </w:rPr>
        <w:t>составляет 25,</w:t>
      </w:r>
      <w:r w:rsidR="00F824C8" w:rsidRPr="00EC20F8">
        <w:rPr>
          <w:rFonts w:ascii="Times New Roman" w:hAnsi="Times New Roman" w:cs="Times New Roman"/>
          <w:sz w:val="28"/>
          <w:szCs w:val="28"/>
        </w:rPr>
        <w:t>9</w:t>
      </w:r>
      <w:r w:rsidRPr="00EC20F8">
        <w:rPr>
          <w:rFonts w:ascii="Times New Roman" w:hAnsi="Times New Roman" w:cs="Times New Roman"/>
          <w:sz w:val="28"/>
          <w:szCs w:val="28"/>
        </w:rPr>
        <w:t xml:space="preserve"> % промышленного производства городского округа. На предприятиях по производству электроэнергии, газа и воды объем отгруженной продукции в 2013 году по отношению к 2012году увеличился и составил </w:t>
      </w:r>
      <w:r w:rsidRPr="00EC20F8">
        <w:rPr>
          <w:rFonts w:ascii="Times New Roman" w:eastAsia="Times New Roman" w:hAnsi="Times New Roman" w:cs="Times New Roman"/>
          <w:sz w:val="28"/>
          <w:szCs w:val="28"/>
          <w:lang w:eastAsia="ru-RU"/>
        </w:rPr>
        <w:t xml:space="preserve">8 714,5 </w:t>
      </w:r>
      <w:proofErr w:type="spellStart"/>
      <w:proofErr w:type="gramStart"/>
      <w:r w:rsidRPr="00EC20F8">
        <w:rPr>
          <w:rFonts w:ascii="Times New Roman" w:eastAsia="Times New Roman" w:hAnsi="Times New Roman" w:cs="Times New Roman"/>
          <w:sz w:val="28"/>
          <w:szCs w:val="28"/>
          <w:lang w:eastAsia="ru-RU"/>
        </w:rPr>
        <w:t>млн</w:t>
      </w:r>
      <w:proofErr w:type="spellEnd"/>
      <w:proofErr w:type="gramEnd"/>
      <w:r w:rsidRPr="00EC20F8">
        <w:rPr>
          <w:rFonts w:ascii="Times New Roman" w:eastAsia="Times New Roman" w:hAnsi="Times New Roman" w:cs="Times New Roman"/>
          <w:sz w:val="28"/>
          <w:szCs w:val="28"/>
          <w:lang w:eastAsia="ru-RU"/>
        </w:rPr>
        <w:t xml:space="preserve"> рублей (в 2012 году </w:t>
      </w:r>
      <w:r w:rsidRPr="00EC20F8">
        <w:rPr>
          <w:rFonts w:ascii="Times New Roman" w:hAnsi="Times New Roman" w:cs="Times New Roman"/>
          <w:sz w:val="28"/>
          <w:szCs w:val="28"/>
        </w:rPr>
        <w:t>–</w:t>
      </w:r>
      <w:r w:rsidRPr="00EC20F8">
        <w:rPr>
          <w:rFonts w:ascii="Times New Roman" w:eastAsia="Times New Roman" w:hAnsi="Times New Roman" w:cs="Times New Roman"/>
          <w:sz w:val="28"/>
          <w:szCs w:val="28"/>
          <w:lang w:eastAsia="ru-RU"/>
        </w:rPr>
        <w:t xml:space="preserve"> 8 609,19 </w:t>
      </w:r>
      <w:proofErr w:type="spellStart"/>
      <w:r w:rsidRPr="00EC20F8">
        <w:rPr>
          <w:rFonts w:ascii="Times New Roman" w:eastAsia="Times New Roman" w:hAnsi="Times New Roman" w:cs="Times New Roman"/>
          <w:sz w:val="28"/>
          <w:szCs w:val="28"/>
          <w:lang w:eastAsia="ru-RU"/>
        </w:rPr>
        <w:t>млн</w:t>
      </w:r>
      <w:proofErr w:type="spellEnd"/>
      <w:r w:rsidRPr="00EC20F8">
        <w:rPr>
          <w:rFonts w:ascii="Times New Roman" w:eastAsia="Times New Roman" w:hAnsi="Times New Roman" w:cs="Times New Roman"/>
          <w:sz w:val="28"/>
          <w:szCs w:val="28"/>
          <w:lang w:eastAsia="ru-RU"/>
        </w:rPr>
        <w:t xml:space="preserve"> рублей). В сопоставимой оценке рост производства составил  2,0 %. Предприятиями произведено 979,1</w:t>
      </w:r>
      <w:r w:rsidRPr="00EC20F8">
        <w:rPr>
          <w:rFonts w:ascii="Times New Roman" w:hAnsi="Times New Roman" w:cs="Times New Roman"/>
          <w:i/>
          <w:sz w:val="24"/>
          <w:szCs w:val="24"/>
        </w:rPr>
        <w:t xml:space="preserve">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кВт/</w:t>
      </w:r>
      <w:proofErr w:type="gramStart"/>
      <w:r w:rsidRPr="00EC20F8">
        <w:rPr>
          <w:rFonts w:ascii="Times New Roman" w:hAnsi="Times New Roman" w:cs="Times New Roman"/>
          <w:sz w:val="28"/>
          <w:szCs w:val="28"/>
        </w:rPr>
        <w:t>ч</w:t>
      </w:r>
      <w:proofErr w:type="gramEnd"/>
      <w:r w:rsidRPr="00EC20F8">
        <w:rPr>
          <w:rFonts w:ascii="Times New Roman" w:hAnsi="Times New Roman" w:cs="Times New Roman"/>
          <w:sz w:val="28"/>
          <w:szCs w:val="28"/>
        </w:rPr>
        <w:t xml:space="preserve"> электрической энергии и 2002,4 </w:t>
      </w:r>
      <w:r w:rsidRPr="00EC20F8">
        <w:rPr>
          <w:rFonts w:ascii="Times New Roman" w:eastAsia="Times New Roman" w:hAnsi="Times New Roman" w:cs="Times New Roman"/>
          <w:sz w:val="28"/>
          <w:szCs w:val="28"/>
          <w:lang w:eastAsia="ru-RU"/>
        </w:rPr>
        <w:t>тысяч Гкал тепловой энерг</w:t>
      </w:r>
      <w:r w:rsidR="00511BAE" w:rsidRPr="00EC20F8">
        <w:rPr>
          <w:rFonts w:ascii="Times New Roman" w:eastAsia="Times New Roman" w:hAnsi="Times New Roman" w:cs="Times New Roman"/>
          <w:sz w:val="28"/>
          <w:szCs w:val="28"/>
          <w:lang w:eastAsia="ru-RU"/>
        </w:rPr>
        <w:t xml:space="preserve">ии. Производство электрической </w:t>
      </w:r>
      <w:r w:rsidRPr="00EC20F8">
        <w:rPr>
          <w:rFonts w:ascii="Times New Roman" w:eastAsia="Times New Roman" w:hAnsi="Times New Roman" w:cs="Times New Roman"/>
          <w:sz w:val="28"/>
          <w:szCs w:val="28"/>
          <w:lang w:eastAsia="ru-RU"/>
        </w:rPr>
        <w:t>энергии снизилось на 1,3 %, производство тепловой энергии увеличилось на 4,9 %.</w:t>
      </w:r>
    </w:p>
    <w:p w:rsidR="0014344F" w:rsidRPr="00EC20F8" w:rsidRDefault="0014344F" w:rsidP="0014344F">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Снижение производства </w:t>
      </w:r>
      <w:r w:rsidR="005F229E" w:rsidRPr="00EC20F8">
        <w:rPr>
          <w:rFonts w:ascii="Times New Roman" w:eastAsia="Times New Roman" w:hAnsi="Times New Roman" w:cs="Times New Roman"/>
          <w:sz w:val="28"/>
          <w:szCs w:val="28"/>
          <w:lang w:eastAsia="ru-RU"/>
        </w:rPr>
        <w:t>электрической</w:t>
      </w:r>
      <w:r w:rsidRPr="00EC20F8">
        <w:rPr>
          <w:rFonts w:ascii="Times New Roman" w:hAnsi="Times New Roman" w:cs="Times New Roman"/>
          <w:sz w:val="28"/>
          <w:szCs w:val="28"/>
        </w:rPr>
        <w:t xml:space="preserve"> энергии в о</w:t>
      </w:r>
      <w:r w:rsidR="00511BAE" w:rsidRPr="00EC20F8">
        <w:rPr>
          <w:rFonts w:ascii="Times New Roman" w:hAnsi="Times New Roman" w:cs="Times New Roman"/>
          <w:sz w:val="28"/>
          <w:szCs w:val="28"/>
        </w:rPr>
        <w:t xml:space="preserve">сновном и повлияло на снижение </w:t>
      </w:r>
      <w:r w:rsidRPr="00EC20F8">
        <w:rPr>
          <w:rFonts w:ascii="Times New Roman" w:hAnsi="Times New Roman" w:cs="Times New Roman"/>
          <w:sz w:val="28"/>
          <w:szCs w:val="28"/>
        </w:rPr>
        <w:t xml:space="preserve">объемов отгруженной продукции в целом по отрасли. </w:t>
      </w:r>
    </w:p>
    <w:p w:rsidR="0014344F" w:rsidRPr="00EC20F8" w:rsidRDefault="0014344F" w:rsidP="0014344F">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По состоянию на 01.01.2014 по виду деятельности «производство и распределение электроэнергии, газа и воды» зарегистрировано</w:t>
      </w:r>
      <w:r w:rsidRPr="00EC20F8">
        <w:rPr>
          <w:rFonts w:ascii="Times New Roman" w:hAnsi="Times New Roman" w:cs="Times New Roman"/>
          <w:b/>
          <w:i/>
          <w:sz w:val="28"/>
          <w:szCs w:val="28"/>
        </w:rPr>
        <w:t xml:space="preserve">  </w:t>
      </w:r>
      <w:r w:rsidRPr="00EC20F8">
        <w:rPr>
          <w:rFonts w:ascii="Times New Roman" w:hAnsi="Times New Roman" w:cs="Times New Roman"/>
          <w:sz w:val="28"/>
          <w:szCs w:val="28"/>
        </w:rPr>
        <w:t xml:space="preserve">63 </w:t>
      </w:r>
      <w:proofErr w:type="gramStart"/>
      <w:r w:rsidRPr="00EC20F8">
        <w:rPr>
          <w:rFonts w:ascii="Times New Roman" w:hAnsi="Times New Roman" w:cs="Times New Roman"/>
          <w:sz w:val="28"/>
          <w:szCs w:val="28"/>
        </w:rPr>
        <w:t>крупных</w:t>
      </w:r>
      <w:proofErr w:type="gramEnd"/>
      <w:r w:rsidRPr="00EC20F8">
        <w:rPr>
          <w:rFonts w:ascii="Times New Roman" w:hAnsi="Times New Roman" w:cs="Times New Roman"/>
          <w:sz w:val="28"/>
          <w:szCs w:val="28"/>
        </w:rPr>
        <w:t xml:space="preserve"> и средних предприятия. Среднесписочная численность работников отрасли составила 5 503 человек (увеличилась на 100,7%). Среднемесячная заработная плата в 2013 году выросла на 8,4 %, ее размер составил 54 291 рубль. Сальдированный финансовый результат крупных и средних организаций отрасли составил 1645,7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убытка (2012 году – 333,0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убытка). Удельный вес убыточных организаций составил 44,4 % (в 2012 году – 33,3 %).</w:t>
      </w:r>
    </w:p>
    <w:p w:rsidR="0014344F" w:rsidRPr="00EC20F8" w:rsidRDefault="0014344F" w:rsidP="0014344F">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b/>
          <w:i/>
          <w:sz w:val="28"/>
          <w:szCs w:val="28"/>
        </w:rPr>
        <w:t>На предприятиях по производству и распределению электроэнергии, газа и воды по первому варианту прогноза</w:t>
      </w:r>
      <w:r w:rsidRPr="00EC20F8">
        <w:rPr>
          <w:rFonts w:ascii="Times New Roman" w:hAnsi="Times New Roman" w:cs="Times New Roman"/>
          <w:sz w:val="28"/>
          <w:szCs w:val="28"/>
        </w:rPr>
        <w:t xml:space="preserve"> (рис. 3.</w:t>
      </w:r>
      <w:r w:rsidR="00F824C8" w:rsidRPr="00EC20F8">
        <w:rPr>
          <w:rFonts w:ascii="Times New Roman" w:hAnsi="Times New Roman" w:cs="Times New Roman"/>
          <w:sz w:val="28"/>
          <w:szCs w:val="28"/>
        </w:rPr>
        <w:t>4</w:t>
      </w:r>
      <w:r w:rsidRPr="00EC20F8">
        <w:rPr>
          <w:rFonts w:ascii="Times New Roman" w:hAnsi="Times New Roman" w:cs="Times New Roman"/>
          <w:sz w:val="28"/>
          <w:szCs w:val="28"/>
        </w:rPr>
        <w:t xml:space="preserve">.) объем отгруженной продукции прогнозируется в 2015 году в сумме 9 004,28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в 2016 году – 9 238,82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в 2017 году – 9 517,83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Индекс производства прогнозируется в 2015 году на уровне 100,0 %, в 2016 году – 100,2 %, в 2017 году – 101,0 %. </w:t>
      </w:r>
    </w:p>
    <w:p w:rsidR="0014344F" w:rsidRPr="00EC20F8" w:rsidRDefault="0014344F" w:rsidP="00F824C8">
      <w:pPr>
        <w:widowControl w:val="0"/>
        <w:spacing w:line="240" w:lineRule="auto"/>
        <w:ind w:firstLine="284"/>
        <w:jc w:val="both"/>
        <w:rPr>
          <w:rFonts w:ascii="Times New Roman" w:hAnsi="Times New Roman" w:cs="Times New Roman"/>
          <w:sz w:val="28"/>
          <w:szCs w:val="28"/>
        </w:rPr>
      </w:pPr>
      <w:r w:rsidRPr="00EC20F8">
        <w:rPr>
          <w:rFonts w:ascii="Times New Roman" w:hAnsi="Times New Roman" w:cs="Times New Roman"/>
          <w:noProof/>
          <w:sz w:val="28"/>
          <w:szCs w:val="28"/>
          <w:bdr w:val="single" w:sz="4" w:space="0" w:color="auto"/>
          <w:lang w:eastAsia="ru-RU"/>
        </w:rPr>
        <w:drawing>
          <wp:inline distT="0" distB="0" distL="0" distR="0">
            <wp:extent cx="5524500" cy="2466975"/>
            <wp:effectExtent l="19050" t="0" r="0" b="0"/>
            <wp:docPr id="32"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4344F" w:rsidRPr="00EC20F8" w:rsidRDefault="0014344F" w:rsidP="002F64C0">
      <w:pPr>
        <w:widowControl w:val="0"/>
        <w:spacing w:before="120" w:line="240" w:lineRule="auto"/>
        <w:jc w:val="center"/>
        <w:rPr>
          <w:rFonts w:ascii="Times New Roman" w:hAnsi="Times New Roman" w:cs="Times New Roman"/>
          <w:i/>
          <w:sz w:val="24"/>
          <w:szCs w:val="24"/>
        </w:rPr>
      </w:pPr>
      <w:r w:rsidRPr="00EC20F8">
        <w:rPr>
          <w:rFonts w:ascii="Times New Roman" w:hAnsi="Times New Roman" w:cs="Times New Roman"/>
          <w:i/>
          <w:sz w:val="24"/>
          <w:szCs w:val="24"/>
        </w:rPr>
        <w:t>Рис. 3.</w:t>
      </w:r>
      <w:r w:rsidR="00F824C8" w:rsidRPr="00EC20F8">
        <w:rPr>
          <w:rFonts w:ascii="Times New Roman" w:hAnsi="Times New Roman" w:cs="Times New Roman"/>
          <w:i/>
          <w:sz w:val="24"/>
          <w:szCs w:val="24"/>
        </w:rPr>
        <w:t>4.</w:t>
      </w:r>
      <w:r w:rsidRPr="00EC20F8">
        <w:rPr>
          <w:rFonts w:ascii="Times New Roman" w:hAnsi="Times New Roman" w:cs="Times New Roman"/>
          <w:i/>
          <w:sz w:val="24"/>
          <w:szCs w:val="24"/>
        </w:rPr>
        <w:t xml:space="preserve"> </w:t>
      </w:r>
      <w:proofErr w:type="gramStart"/>
      <w:r w:rsidR="00F824C8" w:rsidRPr="00EC20F8">
        <w:rPr>
          <w:rFonts w:ascii="Times New Roman" w:hAnsi="Times New Roman" w:cs="Times New Roman"/>
          <w:i/>
          <w:sz w:val="24"/>
          <w:szCs w:val="24"/>
        </w:rPr>
        <w:t>Объем о</w:t>
      </w:r>
      <w:r w:rsidRPr="00EC20F8">
        <w:rPr>
          <w:rFonts w:ascii="Times New Roman" w:hAnsi="Times New Roman" w:cs="Times New Roman"/>
          <w:i/>
          <w:sz w:val="24"/>
          <w:szCs w:val="24"/>
        </w:rPr>
        <w:t>тгруже</w:t>
      </w:r>
      <w:r w:rsidR="00F824C8" w:rsidRPr="00EC20F8">
        <w:rPr>
          <w:rFonts w:ascii="Times New Roman" w:hAnsi="Times New Roman" w:cs="Times New Roman"/>
          <w:i/>
          <w:sz w:val="24"/>
          <w:szCs w:val="24"/>
        </w:rPr>
        <w:t>н</w:t>
      </w:r>
      <w:r w:rsidRPr="00EC20F8">
        <w:rPr>
          <w:rFonts w:ascii="Times New Roman" w:hAnsi="Times New Roman" w:cs="Times New Roman"/>
          <w:i/>
          <w:sz w:val="24"/>
          <w:szCs w:val="24"/>
        </w:rPr>
        <w:t>но</w:t>
      </w:r>
      <w:r w:rsidR="00F824C8" w:rsidRPr="00EC20F8">
        <w:rPr>
          <w:rFonts w:ascii="Times New Roman" w:hAnsi="Times New Roman" w:cs="Times New Roman"/>
          <w:i/>
          <w:sz w:val="24"/>
          <w:szCs w:val="24"/>
        </w:rPr>
        <w:t>й</w:t>
      </w:r>
      <w:r w:rsidRPr="00EC20F8">
        <w:rPr>
          <w:rFonts w:ascii="Times New Roman" w:hAnsi="Times New Roman" w:cs="Times New Roman"/>
          <w:i/>
          <w:sz w:val="24"/>
          <w:szCs w:val="24"/>
        </w:rPr>
        <w:t xml:space="preserve"> продукции собственного производства, выполне</w:t>
      </w:r>
      <w:r w:rsidR="00F824C8" w:rsidRPr="00EC20F8">
        <w:rPr>
          <w:rFonts w:ascii="Times New Roman" w:hAnsi="Times New Roman" w:cs="Times New Roman"/>
          <w:i/>
          <w:sz w:val="24"/>
          <w:szCs w:val="24"/>
        </w:rPr>
        <w:t>н</w:t>
      </w:r>
      <w:r w:rsidRPr="00EC20F8">
        <w:rPr>
          <w:rFonts w:ascii="Times New Roman" w:hAnsi="Times New Roman" w:cs="Times New Roman"/>
          <w:i/>
          <w:sz w:val="24"/>
          <w:szCs w:val="24"/>
        </w:rPr>
        <w:t>н</w:t>
      </w:r>
      <w:r w:rsidR="00F824C8" w:rsidRPr="00EC20F8">
        <w:rPr>
          <w:rFonts w:ascii="Times New Roman" w:hAnsi="Times New Roman" w:cs="Times New Roman"/>
          <w:i/>
          <w:sz w:val="24"/>
          <w:szCs w:val="24"/>
        </w:rPr>
        <w:t>ых</w:t>
      </w:r>
      <w:r w:rsidRPr="00EC20F8">
        <w:rPr>
          <w:rFonts w:ascii="Times New Roman" w:hAnsi="Times New Roman" w:cs="Times New Roman"/>
          <w:i/>
          <w:sz w:val="24"/>
          <w:szCs w:val="24"/>
        </w:rPr>
        <w:t xml:space="preserve"> работ, услуг собственными силами организаций  по производству и распределению электроэнергии, газа и воды</w:t>
      </w:r>
      <w:r w:rsidR="00F824C8" w:rsidRPr="00EC20F8">
        <w:rPr>
          <w:rFonts w:ascii="Times New Roman" w:hAnsi="Times New Roman" w:cs="Times New Roman"/>
          <w:i/>
          <w:sz w:val="24"/>
          <w:szCs w:val="24"/>
        </w:rPr>
        <w:t xml:space="preserve"> (</w:t>
      </w:r>
      <w:r w:rsidRPr="00EC20F8">
        <w:rPr>
          <w:rFonts w:ascii="Times New Roman" w:hAnsi="Times New Roman" w:cs="Times New Roman"/>
          <w:i/>
          <w:sz w:val="24"/>
          <w:szCs w:val="24"/>
        </w:rPr>
        <w:t>по полному кругу производителей</w:t>
      </w:r>
      <w:r w:rsidR="00F824C8" w:rsidRPr="00EC20F8">
        <w:rPr>
          <w:rFonts w:ascii="Times New Roman" w:hAnsi="Times New Roman" w:cs="Times New Roman"/>
          <w:i/>
          <w:sz w:val="24"/>
          <w:szCs w:val="24"/>
        </w:rPr>
        <w:t>)</w:t>
      </w:r>
      <w:proofErr w:type="gramEnd"/>
    </w:p>
    <w:p w:rsidR="00791A47" w:rsidRPr="00EC20F8" w:rsidRDefault="00791A47" w:rsidP="0014344F">
      <w:pPr>
        <w:widowControl w:val="0"/>
        <w:spacing w:line="240" w:lineRule="auto"/>
        <w:ind w:firstLine="709"/>
        <w:jc w:val="both"/>
        <w:rPr>
          <w:rFonts w:ascii="Times New Roman" w:hAnsi="Times New Roman" w:cs="Times New Roman"/>
          <w:b/>
          <w:i/>
          <w:sz w:val="28"/>
          <w:szCs w:val="28"/>
        </w:rPr>
      </w:pPr>
    </w:p>
    <w:p w:rsidR="001F0460" w:rsidRPr="00EC20F8" w:rsidRDefault="0014344F" w:rsidP="00DF4C41">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b/>
          <w:i/>
          <w:sz w:val="28"/>
          <w:szCs w:val="28"/>
        </w:rPr>
        <w:t>По второму варианту прогноза</w:t>
      </w:r>
      <w:r w:rsidRPr="00EC20F8">
        <w:rPr>
          <w:rFonts w:ascii="Times New Roman" w:hAnsi="Times New Roman" w:cs="Times New Roman"/>
          <w:sz w:val="28"/>
          <w:szCs w:val="28"/>
        </w:rPr>
        <w:t xml:space="preserve"> на предприятиях по производству и распределению электроэнергии, газа и воды объем отгруженной продукции прогнозируется в размере 9 031,29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в 2015 году, 9 331,51</w:t>
      </w:r>
      <w:r w:rsidR="00511BAE" w:rsidRPr="00EC20F8">
        <w:rPr>
          <w:rFonts w:ascii="Times New Roman" w:hAnsi="Times New Roman" w:cs="Times New Roman"/>
          <w:sz w:val="28"/>
          <w:szCs w:val="28"/>
        </w:rPr>
        <w:t xml:space="preserve">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 в 2016 году, 9 641,87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 в 2017 году. Индекс производства составит 100,3 % в 2015 году, 101,1 % – в 2016 году, 101,3 % – в 2017 году.</w:t>
      </w:r>
      <w:r w:rsidR="001F0460" w:rsidRPr="00EC20F8">
        <w:rPr>
          <w:rFonts w:ascii="Times New Roman" w:hAnsi="Times New Roman" w:cs="Times New Roman"/>
          <w:sz w:val="28"/>
          <w:szCs w:val="28"/>
        </w:rPr>
        <w:t xml:space="preserve"> </w:t>
      </w:r>
    </w:p>
    <w:p w:rsidR="00791A47" w:rsidRPr="00EC20F8" w:rsidRDefault="0014344F" w:rsidP="00DF4C41">
      <w:pPr>
        <w:widowControl w:val="0"/>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noProof/>
          <w:sz w:val="28"/>
          <w:szCs w:val="28"/>
          <w:lang w:eastAsia="ru-RU"/>
        </w:rPr>
        <w:t>В</w:t>
      </w:r>
      <w:r w:rsidR="00791A47" w:rsidRPr="00EC20F8">
        <w:rPr>
          <w:rFonts w:ascii="Times New Roman" w:hAnsi="Times New Roman" w:cs="Times New Roman"/>
          <w:noProof/>
          <w:sz w:val="28"/>
          <w:szCs w:val="28"/>
          <w:lang w:eastAsia="ru-RU"/>
        </w:rPr>
        <w:t xml:space="preserve"> целом в промышленном секторе экономики в</w:t>
      </w:r>
      <w:r w:rsidRPr="00EC20F8">
        <w:rPr>
          <w:rFonts w:ascii="Times New Roman" w:hAnsi="Times New Roman" w:cs="Times New Roman"/>
          <w:noProof/>
          <w:sz w:val="28"/>
          <w:szCs w:val="28"/>
          <w:lang w:eastAsia="ru-RU"/>
        </w:rPr>
        <w:t xml:space="preserve"> прогнозном периоде </w:t>
      </w:r>
      <w:r w:rsidRPr="00EC20F8">
        <w:rPr>
          <w:rFonts w:ascii="Times New Roman" w:hAnsi="Times New Roman" w:cs="Times New Roman"/>
          <w:sz w:val="28"/>
          <w:szCs w:val="28"/>
        </w:rPr>
        <w:t>ожидается умеренный рост объемов промышленного производства, что обусловлено высокой степенью износа основных производственных фондов, ростом издержек,  низким уровнем процессов технологического обновления и недостаточной конкурентоспособностью продукции на внутреннем и внешнем рынках.</w:t>
      </w:r>
      <w:proofErr w:type="gramEnd"/>
    </w:p>
    <w:p w:rsidR="00791A47" w:rsidRPr="00EC20F8" w:rsidRDefault="0014344F" w:rsidP="0014344F">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На основе тенденций развития, сложившихся в промышленном производстве городского округа в течение ряда предшествующих лет, сложившейся отраслевой структуры, прогнозируется, что в 2015-2017 годах среднегодовой прирост общего объема отгруженных товаров собственного производства, выполненных работ, оказанных услуг в производственном  секторе составит 4,6-5,3 % в действующих ценах. </w:t>
      </w:r>
    </w:p>
    <w:p w:rsidR="0014344F" w:rsidRPr="00EC20F8" w:rsidRDefault="0014344F" w:rsidP="0014344F">
      <w:pPr>
        <w:spacing w:line="240" w:lineRule="auto"/>
        <w:ind w:firstLine="709"/>
        <w:jc w:val="both"/>
        <w:rPr>
          <w:rFonts w:ascii="Times New Roman" w:eastAsia="Times New Roman" w:hAnsi="Times New Roman" w:cs="Times New Roman"/>
          <w:sz w:val="28"/>
          <w:szCs w:val="28"/>
          <w:lang w:eastAsia="ru-RU"/>
        </w:rPr>
      </w:pPr>
      <w:r w:rsidRPr="00EC20F8">
        <w:rPr>
          <w:rFonts w:ascii="Times New Roman" w:eastAsia="Times New Roman" w:hAnsi="Times New Roman" w:cs="Times New Roman"/>
          <w:sz w:val="28"/>
          <w:szCs w:val="28"/>
          <w:lang w:eastAsia="ru-RU"/>
        </w:rPr>
        <w:t>Прогноз на 2015-2017 годы в разработан в двух вариантах, каждый из которых положительно оценивает динамику промышленного производства (рисунок 3.</w:t>
      </w:r>
      <w:r w:rsidR="00791A47" w:rsidRPr="00EC20F8">
        <w:rPr>
          <w:rFonts w:ascii="Times New Roman" w:eastAsia="Times New Roman" w:hAnsi="Times New Roman" w:cs="Times New Roman"/>
          <w:sz w:val="28"/>
          <w:szCs w:val="28"/>
          <w:lang w:eastAsia="ru-RU"/>
        </w:rPr>
        <w:t>5</w:t>
      </w:r>
      <w:r w:rsidRPr="00EC20F8">
        <w:rPr>
          <w:rFonts w:ascii="Times New Roman" w:eastAsia="Times New Roman" w:hAnsi="Times New Roman" w:cs="Times New Roman"/>
          <w:sz w:val="28"/>
          <w:szCs w:val="28"/>
          <w:lang w:eastAsia="ru-RU"/>
        </w:rPr>
        <w:t>, рисунок 3.</w:t>
      </w:r>
      <w:r w:rsidR="00791A47" w:rsidRPr="00EC20F8">
        <w:rPr>
          <w:rFonts w:ascii="Times New Roman" w:eastAsia="Times New Roman" w:hAnsi="Times New Roman" w:cs="Times New Roman"/>
          <w:sz w:val="28"/>
          <w:szCs w:val="28"/>
          <w:lang w:eastAsia="ru-RU"/>
        </w:rPr>
        <w:t>6</w:t>
      </w:r>
      <w:r w:rsidRPr="00EC20F8">
        <w:rPr>
          <w:rFonts w:ascii="Times New Roman" w:eastAsia="Times New Roman" w:hAnsi="Times New Roman" w:cs="Times New Roman"/>
          <w:sz w:val="28"/>
          <w:szCs w:val="28"/>
          <w:lang w:eastAsia="ru-RU"/>
        </w:rPr>
        <w:t>).</w:t>
      </w:r>
    </w:p>
    <w:p w:rsidR="00F77E60" w:rsidRPr="00EC20F8" w:rsidRDefault="00F77E60" w:rsidP="0014344F">
      <w:pPr>
        <w:spacing w:line="240" w:lineRule="auto"/>
        <w:ind w:firstLine="709"/>
        <w:jc w:val="both"/>
        <w:rPr>
          <w:rFonts w:ascii="Times New Roman" w:eastAsia="Times New Roman" w:hAnsi="Times New Roman" w:cs="Times New Roman"/>
          <w:sz w:val="28"/>
          <w:szCs w:val="28"/>
          <w:lang w:eastAsia="ru-RU"/>
        </w:rPr>
      </w:pPr>
    </w:p>
    <w:p w:rsidR="00791A47" w:rsidRPr="00EC20F8" w:rsidRDefault="002C2973" w:rsidP="0014344F">
      <w:pPr>
        <w:spacing w:line="240" w:lineRule="auto"/>
        <w:ind w:firstLine="709"/>
        <w:jc w:val="both"/>
        <w:rPr>
          <w:rFonts w:ascii="Times New Roman" w:eastAsia="Times New Roman" w:hAnsi="Times New Roman" w:cs="Times New Roman"/>
          <w:sz w:val="28"/>
          <w:szCs w:val="28"/>
          <w:lang w:eastAsia="ru-RU"/>
        </w:rPr>
      </w:pPr>
      <w:r w:rsidRPr="00EC20F8">
        <w:rPr>
          <w:rFonts w:ascii="Times New Roman" w:eastAsia="Times New Roman" w:hAnsi="Times New Roman" w:cs="Times New Roman"/>
          <w:noProof/>
          <w:sz w:val="28"/>
          <w:szCs w:val="28"/>
          <w:bdr w:val="single" w:sz="4" w:space="0" w:color="auto"/>
          <w:lang w:eastAsia="ru-RU"/>
        </w:rPr>
        <w:drawing>
          <wp:inline distT="0" distB="0" distL="0" distR="0">
            <wp:extent cx="4572000" cy="27432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06480" w:rsidRPr="00EC20F8" w:rsidRDefault="00206480" w:rsidP="002F64C0">
      <w:pPr>
        <w:spacing w:line="240" w:lineRule="auto"/>
        <w:jc w:val="center"/>
        <w:rPr>
          <w:rFonts w:ascii="Times New Roman" w:eastAsia="Times New Roman" w:hAnsi="Times New Roman" w:cs="Times New Roman"/>
          <w:i/>
          <w:sz w:val="12"/>
          <w:szCs w:val="12"/>
          <w:lang w:eastAsia="ru-RU"/>
        </w:rPr>
      </w:pPr>
    </w:p>
    <w:p w:rsidR="002F64C0" w:rsidRPr="00EC20F8" w:rsidRDefault="0014344F" w:rsidP="002F64C0">
      <w:pPr>
        <w:spacing w:line="240" w:lineRule="auto"/>
        <w:jc w:val="center"/>
        <w:rPr>
          <w:rFonts w:ascii="Times New Roman" w:eastAsia="Times New Roman" w:hAnsi="Times New Roman" w:cs="Times New Roman"/>
          <w:i/>
          <w:sz w:val="24"/>
          <w:szCs w:val="24"/>
          <w:lang w:eastAsia="ru-RU"/>
        </w:rPr>
      </w:pPr>
      <w:r w:rsidRPr="00EC20F8">
        <w:rPr>
          <w:rFonts w:ascii="Times New Roman" w:eastAsia="Times New Roman" w:hAnsi="Times New Roman" w:cs="Times New Roman"/>
          <w:i/>
          <w:sz w:val="24"/>
          <w:szCs w:val="24"/>
          <w:lang w:eastAsia="ru-RU"/>
        </w:rPr>
        <w:t>Рис.3.</w:t>
      </w:r>
      <w:r w:rsidR="002F64C0" w:rsidRPr="00EC20F8">
        <w:rPr>
          <w:rFonts w:ascii="Times New Roman" w:eastAsia="Times New Roman" w:hAnsi="Times New Roman" w:cs="Times New Roman"/>
          <w:i/>
          <w:sz w:val="24"/>
          <w:szCs w:val="24"/>
          <w:lang w:eastAsia="ru-RU"/>
        </w:rPr>
        <w:t>5</w:t>
      </w:r>
      <w:r w:rsidRPr="00EC20F8">
        <w:rPr>
          <w:rFonts w:ascii="Times New Roman" w:eastAsia="Times New Roman" w:hAnsi="Times New Roman" w:cs="Times New Roman"/>
          <w:i/>
          <w:sz w:val="24"/>
          <w:szCs w:val="24"/>
          <w:lang w:eastAsia="ru-RU"/>
        </w:rPr>
        <w:t>. Прогноз индекса промышленного производства на 2015-2017 годы,</w:t>
      </w:r>
    </w:p>
    <w:p w:rsidR="0014344F" w:rsidRPr="00EC20F8" w:rsidRDefault="0014344F" w:rsidP="002F64C0">
      <w:pPr>
        <w:spacing w:line="240" w:lineRule="auto"/>
        <w:jc w:val="center"/>
        <w:rPr>
          <w:rFonts w:ascii="Times New Roman" w:eastAsia="Times New Roman" w:hAnsi="Times New Roman" w:cs="Times New Roman"/>
          <w:i/>
          <w:sz w:val="24"/>
          <w:szCs w:val="24"/>
          <w:lang w:eastAsia="ru-RU"/>
        </w:rPr>
      </w:pPr>
      <w:r w:rsidRPr="00EC20F8">
        <w:rPr>
          <w:rFonts w:ascii="Times New Roman" w:eastAsia="Times New Roman" w:hAnsi="Times New Roman" w:cs="Times New Roman"/>
          <w:i/>
          <w:sz w:val="24"/>
          <w:szCs w:val="24"/>
          <w:lang w:eastAsia="ru-RU"/>
        </w:rPr>
        <w:t xml:space="preserve"> % к предыдущему году</w:t>
      </w:r>
    </w:p>
    <w:p w:rsidR="00F77E60" w:rsidRPr="00EC20F8" w:rsidRDefault="00F77E60" w:rsidP="002F64C0">
      <w:pPr>
        <w:spacing w:line="240" w:lineRule="auto"/>
        <w:jc w:val="center"/>
        <w:rPr>
          <w:rFonts w:ascii="Times New Roman" w:eastAsia="Times New Roman" w:hAnsi="Times New Roman" w:cs="Times New Roman"/>
          <w:i/>
          <w:sz w:val="24"/>
          <w:szCs w:val="24"/>
          <w:lang w:eastAsia="ru-RU"/>
        </w:rPr>
      </w:pPr>
    </w:p>
    <w:p w:rsidR="00F77E60" w:rsidRPr="00EC20F8" w:rsidRDefault="00F77E60" w:rsidP="002F64C0">
      <w:pPr>
        <w:spacing w:line="240" w:lineRule="auto"/>
        <w:jc w:val="center"/>
        <w:rPr>
          <w:rFonts w:ascii="Times New Roman" w:eastAsia="Times New Roman" w:hAnsi="Times New Roman" w:cs="Times New Roman"/>
          <w:i/>
          <w:sz w:val="24"/>
          <w:szCs w:val="24"/>
          <w:lang w:eastAsia="ru-RU"/>
        </w:rPr>
      </w:pPr>
    </w:p>
    <w:p w:rsidR="0014344F" w:rsidRPr="00EC20F8" w:rsidRDefault="0014344F" w:rsidP="0014344F">
      <w:pPr>
        <w:spacing w:before="120" w:line="240" w:lineRule="auto"/>
        <w:jc w:val="center"/>
        <w:rPr>
          <w:rFonts w:ascii="Times New Roman" w:eastAsia="Times New Roman" w:hAnsi="Times New Roman" w:cs="Times New Roman"/>
          <w:noProof/>
          <w:sz w:val="28"/>
          <w:szCs w:val="28"/>
          <w:lang w:eastAsia="ru-RU"/>
        </w:rPr>
      </w:pPr>
      <w:r w:rsidRPr="00EC20F8">
        <w:rPr>
          <w:rFonts w:ascii="Times New Roman" w:eastAsia="Times New Roman" w:hAnsi="Times New Roman" w:cs="Times New Roman"/>
          <w:noProof/>
          <w:sz w:val="28"/>
          <w:szCs w:val="28"/>
          <w:bdr w:val="single" w:sz="4" w:space="0" w:color="auto"/>
          <w:lang w:eastAsia="ru-RU"/>
        </w:rPr>
        <w:drawing>
          <wp:inline distT="0" distB="0" distL="0" distR="0">
            <wp:extent cx="4572000" cy="2466975"/>
            <wp:effectExtent l="0" t="0" r="0" b="0"/>
            <wp:docPr id="3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06480" w:rsidRPr="00EC20F8" w:rsidRDefault="00206480" w:rsidP="002F64C0">
      <w:pPr>
        <w:pStyle w:val="1"/>
        <w:ind w:firstLine="709"/>
        <w:rPr>
          <w:rFonts w:eastAsia="Times New Roman"/>
          <w:b w:val="0"/>
          <w:i/>
          <w:sz w:val="12"/>
          <w:szCs w:val="12"/>
          <w:lang w:eastAsia="ru-RU"/>
        </w:rPr>
      </w:pPr>
      <w:bookmarkStart w:id="23" w:name="_Toc368930195"/>
      <w:bookmarkStart w:id="24" w:name="_Toc368930819"/>
      <w:bookmarkStart w:id="25" w:name="_Toc368988876"/>
    </w:p>
    <w:p w:rsidR="002F64C0" w:rsidRPr="00EC20F8" w:rsidRDefault="0014344F" w:rsidP="002F64C0">
      <w:pPr>
        <w:pStyle w:val="1"/>
        <w:ind w:firstLine="709"/>
        <w:rPr>
          <w:rFonts w:eastAsia="Times New Roman"/>
          <w:b w:val="0"/>
          <w:i/>
          <w:sz w:val="24"/>
          <w:szCs w:val="24"/>
          <w:lang w:eastAsia="ru-RU"/>
        </w:rPr>
      </w:pPr>
      <w:bookmarkStart w:id="26" w:name="_Toc400467624"/>
      <w:bookmarkStart w:id="27" w:name="_Toc400467729"/>
      <w:bookmarkStart w:id="28" w:name="_Toc400529659"/>
      <w:r w:rsidRPr="00EC20F8">
        <w:rPr>
          <w:rFonts w:eastAsia="Times New Roman"/>
          <w:b w:val="0"/>
          <w:i/>
          <w:sz w:val="24"/>
          <w:szCs w:val="24"/>
          <w:lang w:eastAsia="ru-RU"/>
        </w:rPr>
        <w:t>Рис. 3.6.  Прогноз объемов промышленного производства</w:t>
      </w:r>
      <w:bookmarkEnd w:id="26"/>
      <w:bookmarkEnd w:id="27"/>
      <w:bookmarkEnd w:id="28"/>
      <w:r w:rsidR="002F64C0" w:rsidRPr="00EC20F8">
        <w:rPr>
          <w:rFonts w:eastAsia="Times New Roman"/>
          <w:b w:val="0"/>
          <w:i/>
          <w:sz w:val="24"/>
          <w:szCs w:val="24"/>
          <w:lang w:eastAsia="ru-RU"/>
        </w:rPr>
        <w:t xml:space="preserve"> </w:t>
      </w:r>
    </w:p>
    <w:p w:rsidR="0014344F" w:rsidRPr="00EC20F8" w:rsidRDefault="002F64C0" w:rsidP="002F64C0">
      <w:pPr>
        <w:pStyle w:val="1"/>
        <w:ind w:firstLine="709"/>
        <w:rPr>
          <w:b w:val="0"/>
        </w:rPr>
      </w:pPr>
      <w:bookmarkStart w:id="29" w:name="_Toc400467625"/>
      <w:bookmarkStart w:id="30" w:name="_Toc400467730"/>
      <w:bookmarkStart w:id="31" w:name="_Toc400529660"/>
      <w:r w:rsidRPr="00EC20F8">
        <w:rPr>
          <w:rFonts w:eastAsia="Times New Roman"/>
          <w:b w:val="0"/>
          <w:i/>
          <w:sz w:val="24"/>
          <w:szCs w:val="24"/>
          <w:lang w:eastAsia="ru-RU"/>
        </w:rPr>
        <w:t>на 2015-2017 года</w:t>
      </w:r>
      <w:r w:rsidR="0014344F" w:rsidRPr="00EC20F8">
        <w:rPr>
          <w:rFonts w:eastAsia="Times New Roman"/>
          <w:b w:val="0"/>
          <w:i/>
          <w:sz w:val="24"/>
          <w:szCs w:val="24"/>
          <w:lang w:eastAsia="ru-RU"/>
        </w:rPr>
        <w:t xml:space="preserve">, </w:t>
      </w:r>
      <w:bookmarkEnd w:id="23"/>
      <w:bookmarkEnd w:id="24"/>
      <w:bookmarkEnd w:id="25"/>
      <w:proofErr w:type="spellStart"/>
      <w:proofErr w:type="gramStart"/>
      <w:r w:rsidR="0014344F" w:rsidRPr="00EC20F8">
        <w:rPr>
          <w:rFonts w:eastAsia="Times New Roman"/>
          <w:b w:val="0"/>
          <w:i/>
          <w:sz w:val="24"/>
          <w:szCs w:val="24"/>
          <w:lang w:eastAsia="ru-RU"/>
        </w:rPr>
        <w:t>млн</w:t>
      </w:r>
      <w:proofErr w:type="spellEnd"/>
      <w:proofErr w:type="gramEnd"/>
      <w:r w:rsidR="0014344F" w:rsidRPr="00EC20F8">
        <w:rPr>
          <w:rFonts w:eastAsia="Times New Roman"/>
          <w:b w:val="0"/>
          <w:i/>
          <w:sz w:val="24"/>
          <w:szCs w:val="24"/>
          <w:lang w:eastAsia="ru-RU"/>
        </w:rPr>
        <w:t xml:space="preserve"> рублей</w:t>
      </w:r>
      <w:bookmarkEnd w:id="29"/>
      <w:bookmarkEnd w:id="30"/>
      <w:bookmarkEnd w:id="31"/>
    </w:p>
    <w:p w:rsidR="0014344F" w:rsidRPr="00EC20F8" w:rsidRDefault="0014344F" w:rsidP="0014344F">
      <w:pPr>
        <w:tabs>
          <w:tab w:val="left" w:pos="8789"/>
        </w:tabs>
        <w:spacing w:before="120" w:line="240" w:lineRule="auto"/>
        <w:ind w:firstLine="709"/>
        <w:jc w:val="both"/>
        <w:rPr>
          <w:rFonts w:ascii="Times New Roman" w:eastAsia="Times New Roman" w:hAnsi="Times New Roman" w:cs="Times New Roman"/>
          <w:sz w:val="28"/>
          <w:szCs w:val="28"/>
          <w:lang w:eastAsia="ru-RU"/>
        </w:rPr>
      </w:pPr>
      <w:r w:rsidRPr="00EC20F8">
        <w:rPr>
          <w:rFonts w:ascii="Times New Roman" w:eastAsia="Times New Roman" w:hAnsi="Times New Roman" w:cs="Times New Roman"/>
          <w:sz w:val="28"/>
          <w:szCs w:val="28"/>
          <w:lang w:eastAsia="ru-RU"/>
        </w:rPr>
        <w:t xml:space="preserve">Рост промышленного производства будет обеспечиваться  объемами обрабатывающей промышленности. Прочие отрасли промышленности сохранят свою функцию обеспечения потребительского спроса на региональном рынке. </w:t>
      </w:r>
    </w:p>
    <w:p w:rsidR="0014344F" w:rsidRPr="00EC20F8" w:rsidRDefault="0014344F" w:rsidP="0014344F">
      <w:pPr>
        <w:ind w:firstLine="709"/>
        <w:jc w:val="both"/>
        <w:rPr>
          <w:rFonts w:ascii="Times New Roman" w:eastAsia="Times New Roman" w:hAnsi="Times New Roman" w:cs="Times New Roman"/>
          <w:sz w:val="28"/>
          <w:szCs w:val="28"/>
          <w:lang w:eastAsia="ru-RU"/>
        </w:rPr>
      </w:pPr>
      <w:r w:rsidRPr="00EC20F8">
        <w:rPr>
          <w:rFonts w:ascii="Times New Roman" w:eastAsia="Times New Roman" w:hAnsi="Times New Roman" w:cs="Times New Roman"/>
          <w:sz w:val="28"/>
          <w:szCs w:val="28"/>
          <w:lang w:eastAsia="ru-RU"/>
        </w:rPr>
        <w:t xml:space="preserve">Основные проблемы промышленности остаются неизменными. Высокие транспортные издержки и тарифы на энергоресурсы делают местную промышленную продукцию  неконкурентной для вывоза в другие регионы Российской Федерации и экспорта за рубеж (кроме рыбной продукции). </w:t>
      </w:r>
    </w:p>
    <w:p w:rsidR="00905D0F" w:rsidRPr="00EC20F8" w:rsidRDefault="00905D0F" w:rsidP="00905D0F">
      <w:pPr>
        <w:autoSpaceDE w:val="0"/>
        <w:autoSpaceDN w:val="0"/>
        <w:adjustRightInd w:val="0"/>
        <w:spacing w:before="240" w:after="120" w:line="240" w:lineRule="auto"/>
        <w:jc w:val="center"/>
        <w:outlineLvl w:val="0"/>
        <w:rPr>
          <w:rFonts w:ascii="Times New Roman" w:hAnsi="Times New Roman" w:cs="Times New Roman"/>
          <w:b/>
          <w:sz w:val="28"/>
          <w:szCs w:val="28"/>
        </w:rPr>
      </w:pPr>
      <w:bookmarkStart w:id="32" w:name="_Toc368930196"/>
      <w:bookmarkStart w:id="33" w:name="_Toc368930820"/>
      <w:bookmarkStart w:id="34" w:name="_Toc368988877"/>
      <w:bookmarkStart w:id="35" w:name="_Toc400529661"/>
      <w:r w:rsidRPr="00EC20F8">
        <w:rPr>
          <w:rFonts w:ascii="Times New Roman" w:hAnsi="Times New Roman" w:cs="Times New Roman"/>
          <w:b/>
          <w:sz w:val="28"/>
          <w:szCs w:val="28"/>
        </w:rPr>
        <w:t>4. Инвестиционная деятельность и строительство</w:t>
      </w:r>
      <w:bookmarkEnd w:id="32"/>
      <w:bookmarkEnd w:id="33"/>
      <w:bookmarkEnd w:id="34"/>
      <w:bookmarkEnd w:id="35"/>
    </w:p>
    <w:p w:rsidR="00905D0F" w:rsidRPr="00EC20F8" w:rsidRDefault="00905D0F" w:rsidP="00905D0F">
      <w:pPr>
        <w:autoSpaceDE w:val="0"/>
        <w:autoSpaceDN w:val="0"/>
        <w:adjustRightInd w:val="0"/>
        <w:spacing w:line="240" w:lineRule="auto"/>
        <w:jc w:val="center"/>
        <w:outlineLvl w:val="0"/>
        <w:rPr>
          <w:rFonts w:ascii="Times New Roman" w:hAnsi="Times New Roman" w:cs="Times New Roman"/>
          <w:sz w:val="28"/>
          <w:szCs w:val="28"/>
        </w:rPr>
      </w:pPr>
      <w:bookmarkStart w:id="36" w:name="_Toc335475359"/>
      <w:bookmarkStart w:id="37" w:name="_Toc335475599"/>
      <w:bookmarkStart w:id="38" w:name="_Toc337642430"/>
      <w:bookmarkStart w:id="39" w:name="_Toc368930197"/>
      <w:bookmarkStart w:id="40" w:name="_Toc368930821"/>
      <w:bookmarkStart w:id="41" w:name="_Toc368988878"/>
      <w:bookmarkStart w:id="42" w:name="_Toc400529662"/>
      <w:r w:rsidRPr="00EC20F8">
        <w:rPr>
          <w:rFonts w:ascii="Times New Roman" w:hAnsi="Times New Roman" w:cs="Times New Roman"/>
          <w:sz w:val="28"/>
          <w:szCs w:val="28"/>
        </w:rPr>
        <w:t>4.1. Инвестиционная активность</w:t>
      </w:r>
      <w:bookmarkEnd w:id="36"/>
      <w:bookmarkEnd w:id="37"/>
      <w:bookmarkEnd w:id="38"/>
      <w:bookmarkEnd w:id="39"/>
      <w:bookmarkEnd w:id="40"/>
      <w:bookmarkEnd w:id="41"/>
      <w:bookmarkEnd w:id="42"/>
    </w:p>
    <w:p w:rsidR="00905D0F" w:rsidRPr="00EC20F8" w:rsidRDefault="00905D0F" w:rsidP="00905D0F">
      <w:pPr>
        <w:spacing w:before="120" w:after="120" w:line="240" w:lineRule="auto"/>
        <w:ind w:firstLine="709"/>
        <w:jc w:val="both"/>
        <w:rPr>
          <w:rFonts w:ascii="Times New Roman" w:hAnsi="Times New Roman" w:cs="Times New Roman"/>
          <w:sz w:val="12"/>
          <w:szCs w:val="12"/>
        </w:rPr>
      </w:pPr>
      <w:r w:rsidRPr="00EC20F8">
        <w:rPr>
          <w:rFonts w:ascii="Times New Roman" w:hAnsi="Times New Roman" w:cs="Times New Roman"/>
          <w:sz w:val="28"/>
          <w:szCs w:val="28"/>
        </w:rPr>
        <w:t xml:space="preserve">Инвестиции в основной капитал городского округа за счет всех источников финансирования в 2013 году сложились в объеме 23 789,90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против 28 950,80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в 2012 году (индекс физического объема составил 81,9 %). Динамика инвестиционной активности приведена в рисунке 4.1.1:</w:t>
      </w:r>
    </w:p>
    <w:p w:rsidR="00905D0F" w:rsidRPr="00EC20F8" w:rsidRDefault="00905D0F" w:rsidP="00905D0F">
      <w:pPr>
        <w:spacing w:line="240" w:lineRule="auto"/>
        <w:ind w:firstLine="709"/>
        <w:jc w:val="both"/>
        <w:rPr>
          <w:rFonts w:ascii="Times New Roman" w:hAnsi="Times New Roman" w:cs="Times New Roman"/>
          <w:sz w:val="8"/>
          <w:szCs w:val="8"/>
        </w:rPr>
      </w:pPr>
    </w:p>
    <w:p w:rsidR="00905D0F" w:rsidRPr="00EC20F8" w:rsidRDefault="00905D0F" w:rsidP="00905D0F">
      <w:pPr>
        <w:spacing w:line="230" w:lineRule="auto"/>
        <w:jc w:val="center"/>
        <w:rPr>
          <w:rFonts w:ascii="Times New Roman" w:hAnsi="Times New Roman" w:cs="Times New Roman"/>
          <w:i/>
          <w:sz w:val="24"/>
          <w:szCs w:val="24"/>
        </w:rPr>
      </w:pPr>
      <w:r w:rsidRPr="00EC20F8">
        <w:rPr>
          <w:rFonts w:ascii="Times New Roman" w:hAnsi="Times New Roman" w:cs="Times New Roman"/>
          <w:i/>
          <w:noProof/>
          <w:sz w:val="24"/>
          <w:szCs w:val="24"/>
          <w:bdr w:val="single" w:sz="4" w:space="0" w:color="auto"/>
          <w:lang w:eastAsia="ru-RU"/>
        </w:rPr>
        <w:drawing>
          <wp:inline distT="0" distB="0" distL="0" distR="0">
            <wp:extent cx="5857875" cy="1847850"/>
            <wp:effectExtent l="0" t="0" r="0" b="0"/>
            <wp:docPr id="4"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05D0F" w:rsidRPr="00EC20F8" w:rsidRDefault="00905D0F" w:rsidP="00905D0F">
      <w:pPr>
        <w:spacing w:line="230" w:lineRule="auto"/>
        <w:jc w:val="center"/>
        <w:rPr>
          <w:rFonts w:ascii="Times New Roman" w:hAnsi="Times New Roman" w:cs="Times New Roman"/>
          <w:i/>
          <w:sz w:val="12"/>
          <w:szCs w:val="12"/>
        </w:rPr>
      </w:pPr>
    </w:p>
    <w:p w:rsidR="00905D0F" w:rsidRPr="00EC20F8" w:rsidRDefault="00905D0F" w:rsidP="00905D0F">
      <w:pPr>
        <w:spacing w:line="230" w:lineRule="auto"/>
        <w:jc w:val="center"/>
        <w:rPr>
          <w:rFonts w:ascii="Times New Roman" w:hAnsi="Times New Roman" w:cs="Times New Roman"/>
          <w:sz w:val="28"/>
          <w:szCs w:val="28"/>
        </w:rPr>
      </w:pPr>
      <w:r w:rsidRPr="00EC20F8">
        <w:rPr>
          <w:rFonts w:ascii="Times New Roman" w:hAnsi="Times New Roman" w:cs="Times New Roman"/>
          <w:i/>
          <w:sz w:val="24"/>
          <w:szCs w:val="24"/>
        </w:rPr>
        <w:t xml:space="preserve">Рис. 4.1.1 Инвестиции в основной капитал за счет всех источников финансирования в городском округе, </w:t>
      </w:r>
      <w:proofErr w:type="spellStart"/>
      <w:proofErr w:type="gramStart"/>
      <w:r w:rsidRPr="00EC20F8">
        <w:rPr>
          <w:rFonts w:ascii="Times New Roman" w:hAnsi="Times New Roman" w:cs="Times New Roman"/>
          <w:i/>
          <w:sz w:val="24"/>
          <w:szCs w:val="24"/>
        </w:rPr>
        <w:t>млн</w:t>
      </w:r>
      <w:proofErr w:type="spellEnd"/>
      <w:proofErr w:type="gramEnd"/>
      <w:r w:rsidRPr="00EC20F8">
        <w:rPr>
          <w:rFonts w:ascii="Times New Roman" w:hAnsi="Times New Roman" w:cs="Times New Roman"/>
          <w:i/>
          <w:sz w:val="24"/>
          <w:szCs w:val="24"/>
        </w:rPr>
        <w:t xml:space="preserve"> рублей</w:t>
      </w:r>
    </w:p>
    <w:p w:rsidR="00905D0F" w:rsidRPr="00EC20F8" w:rsidRDefault="00905D0F" w:rsidP="00905D0F">
      <w:pPr>
        <w:spacing w:before="120"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Основными сферами инвестиционной активности по крупным и средним предприятиям остаются: сфера транспорта и связи – 38,2 %; операции с недвижимым имуществом, арендой и предоставлением услуг– 15,3 %; рыболовство, рыбоводство – 11,2 %, добыча полезных ископаемых – 8,8 %. </w:t>
      </w:r>
    </w:p>
    <w:p w:rsidR="00905D0F" w:rsidRPr="00EC20F8" w:rsidRDefault="00905D0F" w:rsidP="00905D0F">
      <w:pPr>
        <w:spacing w:line="235"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На городской округ приходится большая часть инвестиций, привлекаемых в экономику региона: в 2013 году – 73,0 %, в 2012 году –        80,1 %.</w:t>
      </w:r>
    </w:p>
    <w:p w:rsidR="001F0460" w:rsidRPr="00EC20F8" w:rsidRDefault="00905D0F" w:rsidP="00F77E60">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За период 2008-2013 годов на городской округ пришлось 147,0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долларов США инвестиций, поступивших от иностранных инвесторов, что составило 44,7 % всех иностранных инвестиций в экономику Камчатского края за период 2008-2013 годов (таблица 4.1.1).</w:t>
      </w:r>
    </w:p>
    <w:p w:rsidR="00F77E60" w:rsidRPr="00EC20F8" w:rsidRDefault="00F77E60" w:rsidP="00F77E60">
      <w:pPr>
        <w:spacing w:line="240" w:lineRule="auto"/>
        <w:ind w:firstLine="709"/>
        <w:jc w:val="both"/>
        <w:rPr>
          <w:rFonts w:ascii="Times New Roman" w:hAnsi="Times New Roman" w:cs="Times New Roman"/>
          <w:sz w:val="28"/>
          <w:szCs w:val="28"/>
        </w:rPr>
      </w:pPr>
    </w:p>
    <w:p w:rsidR="00F77E60" w:rsidRPr="00EC20F8" w:rsidRDefault="00F77E60" w:rsidP="00F77E60">
      <w:pPr>
        <w:spacing w:line="240" w:lineRule="auto"/>
        <w:ind w:firstLine="709"/>
        <w:jc w:val="both"/>
        <w:rPr>
          <w:rFonts w:ascii="Times New Roman" w:hAnsi="Times New Roman" w:cs="Times New Roman"/>
          <w:sz w:val="28"/>
          <w:szCs w:val="28"/>
        </w:rPr>
      </w:pPr>
    </w:p>
    <w:p w:rsidR="00F77E60" w:rsidRPr="00EC20F8" w:rsidRDefault="00F77E60" w:rsidP="00F77E60">
      <w:pPr>
        <w:spacing w:line="240" w:lineRule="auto"/>
        <w:ind w:firstLine="709"/>
        <w:jc w:val="both"/>
        <w:rPr>
          <w:rFonts w:ascii="Times New Roman" w:hAnsi="Times New Roman" w:cs="Times New Roman"/>
          <w:b/>
          <w:sz w:val="24"/>
          <w:szCs w:val="24"/>
        </w:rPr>
      </w:pPr>
    </w:p>
    <w:p w:rsidR="00905D0F" w:rsidRPr="00EC20F8" w:rsidRDefault="00905D0F" w:rsidP="00905D0F">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Объем инвестиций, поступивших от иностранных инвесторов,</w:t>
      </w:r>
    </w:p>
    <w:p w:rsidR="00905D0F" w:rsidRPr="00EC20F8" w:rsidRDefault="00905D0F" w:rsidP="00905D0F">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 xml:space="preserve"> в экономику городского округа в 2008-2013 годах</w:t>
      </w:r>
    </w:p>
    <w:p w:rsidR="00905D0F" w:rsidRPr="00EC20F8" w:rsidRDefault="00905D0F" w:rsidP="00905D0F">
      <w:pPr>
        <w:jc w:val="right"/>
        <w:rPr>
          <w:rFonts w:ascii="Times New Roman" w:hAnsi="Times New Roman" w:cs="Times New Roman"/>
          <w:i/>
          <w:sz w:val="24"/>
          <w:szCs w:val="24"/>
        </w:rPr>
      </w:pPr>
      <w:r w:rsidRPr="00EC20F8">
        <w:rPr>
          <w:rFonts w:ascii="Times New Roman" w:hAnsi="Times New Roman" w:cs="Times New Roman"/>
          <w:i/>
          <w:sz w:val="24"/>
          <w:szCs w:val="24"/>
        </w:rPr>
        <w:t xml:space="preserve">                                                                                                            Таблица 4.1.1 </w:t>
      </w:r>
    </w:p>
    <w:tbl>
      <w:tblPr>
        <w:tblStyle w:val="afd"/>
        <w:tblW w:w="4991" w:type="pct"/>
        <w:jc w:val="center"/>
        <w:tblLook w:val="04A0"/>
      </w:tblPr>
      <w:tblGrid>
        <w:gridCol w:w="3458"/>
        <w:gridCol w:w="1030"/>
        <w:gridCol w:w="1078"/>
        <w:gridCol w:w="1103"/>
        <w:gridCol w:w="976"/>
        <w:gridCol w:w="1007"/>
        <w:gridCol w:w="902"/>
      </w:tblGrid>
      <w:tr w:rsidR="00905D0F" w:rsidRPr="00EC20F8" w:rsidTr="009A5AA2">
        <w:trPr>
          <w:tblHeader/>
          <w:jc w:val="center"/>
        </w:trPr>
        <w:tc>
          <w:tcPr>
            <w:tcW w:w="1810" w:type="pct"/>
          </w:tcPr>
          <w:p w:rsidR="00905D0F" w:rsidRPr="00EC20F8" w:rsidRDefault="00905D0F" w:rsidP="009A5AA2">
            <w:pPr>
              <w:jc w:val="both"/>
              <w:rPr>
                <w:rFonts w:ascii="Times New Roman" w:hAnsi="Times New Roman" w:cs="Times New Roman"/>
                <w:sz w:val="24"/>
                <w:szCs w:val="24"/>
              </w:rPr>
            </w:pPr>
          </w:p>
        </w:tc>
        <w:tc>
          <w:tcPr>
            <w:tcW w:w="539" w:type="pct"/>
          </w:tcPr>
          <w:p w:rsidR="00905D0F" w:rsidRPr="00EC20F8" w:rsidRDefault="00905D0F" w:rsidP="009A5AA2">
            <w:pPr>
              <w:jc w:val="center"/>
              <w:rPr>
                <w:rFonts w:ascii="Times New Roman" w:hAnsi="Times New Roman" w:cs="Times New Roman"/>
                <w:sz w:val="24"/>
                <w:szCs w:val="24"/>
              </w:rPr>
            </w:pPr>
            <w:r w:rsidRPr="00EC20F8">
              <w:rPr>
                <w:rFonts w:ascii="Times New Roman" w:hAnsi="Times New Roman" w:cs="Times New Roman"/>
                <w:sz w:val="24"/>
                <w:szCs w:val="24"/>
              </w:rPr>
              <w:t>2008</w:t>
            </w:r>
          </w:p>
          <w:p w:rsidR="00905D0F" w:rsidRPr="00EC20F8" w:rsidRDefault="00905D0F" w:rsidP="009A5AA2">
            <w:pPr>
              <w:jc w:val="center"/>
              <w:rPr>
                <w:rFonts w:ascii="Times New Roman" w:hAnsi="Times New Roman" w:cs="Times New Roman"/>
                <w:sz w:val="24"/>
                <w:szCs w:val="24"/>
              </w:rPr>
            </w:pPr>
            <w:r w:rsidRPr="00EC20F8">
              <w:rPr>
                <w:rFonts w:ascii="Times New Roman" w:hAnsi="Times New Roman" w:cs="Times New Roman"/>
                <w:sz w:val="24"/>
                <w:szCs w:val="24"/>
              </w:rPr>
              <w:t>год</w:t>
            </w:r>
          </w:p>
        </w:tc>
        <w:tc>
          <w:tcPr>
            <w:tcW w:w="564" w:type="pct"/>
          </w:tcPr>
          <w:p w:rsidR="00905D0F" w:rsidRPr="00EC20F8" w:rsidRDefault="00905D0F" w:rsidP="009A5AA2">
            <w:pPr>
              <w:jc w:val="center"/>
              <w:rPr>
                <w:rFonts w:ascii="Times New Roman" w:hAnsi="Times New Roman" w:cs="Times New Roman"/>
                <w:sz w:val="24"/>
                <w:szCs w:val="24"/>
              </w:rPr>
            </w:pPr>
            <w:r w:rsidRPr="00EC20F8">
              <w:rPr>
                <w:rFonts w:ascii="Times New Roman" w:hAnsi="Times New Roman" w:cs="Times New Roman"/>
                <w:sz w:val="24"/>
                <w:szCs w:val="24"/>
              </w:rPr>
              <w:t>2009</w:t>
            </w:r>
          </w:p>
          <w:p w:rsidR="00905D0F" w:rsidRPr="00EC20F8" w:rsidRDefault="00905D0F" w:rsidP="009A5AA2">
            <w:pPr>
              <w:jc w:val="center"/>
              <w:rPr>
                <w:rFonts w:ascii="Times New Roman" w:hAnsi="Times New Roman" w:cs="Times New Roman"/>
                <w:sz w:val="24"/>
                <w:szCs w:val="24"/>
              </w:rPr>
            </w:pPr>
            <w:r w:rsidRPr="00EC20F8">
              <w:rPr>
                <w:rFonts w:ascii="Times New Roman" w:hAnsi="Times New Roman" w:cs="Times New Roman"/>
                <w:sz w:val="24"/>
                <w:szCs w:val="24"/>
              </w:rPr>
              <w:t>год</w:t>
            </w:r>
          </w:p>
        </w:tc>
        <w:tc>
          <w:tcPr>
            <w:tcW w:w="577" w:type="pct"/>
          </w:tcPr>
          <w:p w:rsidR="00905D0F" w:rsidRPr="00EC20F8" w:rsidRDefault="00905D0F" w:rsidP="009A5AA2">
            <w:pPr>
              <w:jc w:val="center"/>
              <w:rPr>
                <w:rFonts w:ascii="Times New Roman" w:hAnsi="Times New Roman" w:cs="Times New Roman"/>
                <w:sz w:val="24"/>
                <w:szCs w:val="24"/>
              </w:rPr>
            </w:pPr>
            <w:r w:rsidRPr="00EC20F8">
              <w:rPr>
                <w:rFonts w:ascii="Times New Roman" w:hAnsi="Times New Roman" w:cs="Times New Roman"/>
                <w:sz w:val="24"/>
                <w:szCs w:val="24"/>
              </w:rPr>
              <w:t>2010</w:t>
            </w:r>
          </w:p>
          <w:p w:rsidR="00905D0F" w:rsidRPr="00EC20F8" w:rsidRDefault="00905D0F" w:rsidP="009A5AA2">
            <w:pPr>
              <w:jc w:val="center"/>
              <w:rPr>
                <w:rFonts w:ascii="Times New Roman" w:hAnsi="Times New Roman" w:cs="Times New Roman"/>
                <w:sz w:val="24"/>
                <w:szCs w:val="24"/>
              </w:rPr>
            </w:pPr>
            <w:r w:rsidRPr="00EC20F8">
              <w:rPr>
                <w:rFonts w:ascii="Times New Roman" w:hAnsi="Times New Roman" w:cs="Times New Roman"/>
                <w:sz w:val="24"/>
                <w:szCs w:val="24"/>
              </w:rPr>
              <w:t>год</w:t>
            </w:r>
          </w:p>
        </w:tc>
        <w:tc>
          <w:tcPr>
            <w:tcW w:w="511" w:type="pct"/>
          </w:tcPr>
          <w:p w:rsidR="00905D0F" w:rsidRPr="00EC20F8" w:rsidRDefault="00905D0F" w:rsidP="009A5AA2">
            <w:pPr>
              <w:jc w:val="center"/>
              <w:rPr>
                <w:rFonts w:ascii="Times New Roman" w:hAnsi="Times New Roman" w:cs="Times New Roman"/>
                <w:sz w:val="24"/>
                <w:szCs w:val="24"/>
              </w:rPr>
            </w:pPr>
            <w:r w:rsidRPr="00EC20F8">
              <w:rPr>
                <w:rFonts w:ascii="Times New Roman" w:hAnsi="Times New Roman" w:cs="Times New Roman"/>
                <w:sz w:val="24"/>
                <w:szCs w:val="24"/>
              </w:rPr>
              <w:t>2011</w:t>
            </w:r>
          </w:p>
          <w:p w:rsidR="00905D0F" w:rsidRPr="00EC20F8" w:rsidRDefault="00905D0F" w:rsidP="009A5AA2">
            <w:pPr>
              <w:jc w:val="center"/>
              <w:rPr>
                <w:rFonts w:ascii="Times New Roman" w:hAnsi="Times New Roman" w:cs="Times New Roman"/>
                <w:sz w:val="24"/>
                <w:szCs w:val="24"/>
              </w:rPr>
            </w:pPr>
            <w:r w:rsidRPr="00EC20F8">
              <w:rPr>
                <w:rFonts w:ascii="Times New Roman" w:hAnsi="Times New Roman" w:cs="Times New Roman"/>
                <w:sz w:val="24"/>
                <w:szCs w:val="24"/>
              </w:rPr>
              <w:t>год</w:t>
            </w:r>
          </w:p>
        </w:tc>
        <w:tc>
          <w:tcPr>
            <w:tcW w:w="527" w:type="pct"/>
          </w:tcPr>
          <w:p w:rsidR="00905D0F" w:rsidRPr="00EC20F8" w:rsidRDefault="00905D0F" w:rsidP="009A5AA2">
            <w:pPr>
              <w:jc w:val="center"/>
              <w:rPr>
                <w:rFonts w:ascii="Times New Roman" w:hAnsi="Times New Roman" w:cs="Times New Roman"/>
                <w:sz w:val="24"/>
                <w:szCs w:val="24"/>
              </w:rPr>
            </w:pPr>
            <w:r w:rsidRPr="00EC20F8">
              <w:rPr>
                <w:rFonts w:ascii="Times New Roman" w:hAnsi="Times New Roman" w:cs="Times New Roman"/>
                <w:sz w:val="24"/>
                <w:szCs w:val="24"/>
              </w:rPr>
              <w:t>2012</w:t>
            </w:r>
          </w:p>
          <w:p w:rsidR="00905D0F" w:rsidRPr="00EC20F8" w:rsidRDefault="00905D0F" w:rsidP="009A5AA2">
            <w:pPr>
              <w:jc w:val="center"/>
              <w:rPr>
                <w:rFonts w:ascii="Times New Roman" w:hAnsi="Times New Roman" w:cs="Times New Roman"/>
                <w:sz w:val="24"/>
                <w:szCs w:val="24"/>
              </w:rPr>
            </w:pPr>
            <w:r w:rsidRPr="00EC20F8">
              <w:rPr>
                <w:rFonts w:ascii="Times New Roman" w:hAnsi="Times New Roman" w:cs="Times New Roman"/>
                <w:sz w:val="24"/>
                <w:szCs w:val="24"/>
              </w:rPr>
              <w:t>год</w:t>
            </w:r>
          </w:p>
        </w:tc>
        <w:tc>
          <w:tcPr>
            <w:tcW w:w="473" w:type="pct"/>
          </w:tcPr>
          <w:p w:rsidR="00905D0F" w:rsidRPr="00EC20F8" w:rsidRDefault="00905D0F" w:rsidP="009A5AA2">
            <w:pPr>
              <w:jc w:val="center"/>
              <w:rPr>
                <w:rFonts w:ascii="Times New Roman" w:hAnsi="Times New Roman" w:cs="Times New Roman"/>
                <w:sz w:val="24"/>
                <w:szCs w:val="24"/>
              </w:rPr>
            </w:pPr>
            <w:r w:rsidRPr="00EC20F8">
              <w:rPr>
                <w:rFonts w:ascii="Times New Roman" w:hAnsi="Times New Roman" w:cs="Times New Roman"/>
                <w:sz w:val="24"/>
                <w:szCs w:val="24"/>
              </w:rPr>
              <w:t>2013</w:t>
            </w:r>
          </w:p>
          <w:p w:rsidR="00905D0F" w:rsidRPr="00EC20F8" w:rsidRDefault="00905D0F" w:rsidP="009A5AA2">
            <w:pPr>
              <w:jc w:val="center"/>
              <w:rPr>
                <w:rFonts w:ascii="Times New Roman" w:hAnsi="Times New Roman" w:cs="Times New Roman"/>
                <w:sz w:val="24"/>
                <w:szCs w:val="24"/>
              </w:rPr>
            </w:pPr>
            <w:r w:rsidRPr="00EC20F8">
              <w:rPr>
                <w:rFonts w:ascii="Times New Roman" w:hAnsi="Times New Roman" w:cs="Times New Roman"/>
                <w:sz w:val="24"/>
                <w:szCs w:val="24"/>
              </w:rPr>
              <w:t>год</w:t>
            </w:r>
          </w:p>
        </w:tc>
      </w:tr>
      <w:tr w:rsidR="00905D0F" w:rsidRPr="00EC20F8" w:rsidTr="009A5AA2">
        <w:trPr>
          <w:jc w:val="center"/>
        </w:trPr>
        <w:tc>
          <w:tcPr>
            <w:tcW w:w="1810" w:type="pct"/>
          </w:tcPr>
          <w:p w:rsidR="00905D0F" w:rsidRPr="00EC20F8" w:rsidRDefault="00905D0F" w:rsidP="009A5AA2">
            <w:pPr>
              <w:jc w:val="both"/>
              <w:rPr>
                <w:rFonts w:ascii="Times New Roman" w:hAnsi="Times New Roman" w:cs="Times New Roman"/>
                <w:sz w:val="24"/>
                <w:szCs w:val="24"/>
              </w:rPr>
            </w:pPr>
            <w:r w:rsidRPr="00EC20F8">
              <w:rPr>
                <w:rFonts w:ascii="Times New Roman" w:hAnsi="Times New Roman" w:cs="Times New Roman"/>
                <w:sz w:val="24"/>
                <w:szCs w:val="24"/>
              </w:rPr>
              <w:t>Объем инвестиций:</w:t>
            </w:r>
          </w:p>
        </w:tc>
        <w:tc>
          <w:tcPr>
            <w:tcW w:w="539" w:type="pct"/>
          </w:tcPr>
          <w:p w:rsidR="00905D0F" w:rsidRPr="00EC20F8" w:rsidRDefault="00905D0F" w:rsidP="009A5AA2">
            <w:pPr>
              <w:jc w:val="both"/>
              <w:rPr>
                <w:rFonts w:ascii="Times New Roman" w:hAnsi="Times New Roman" w:cs="Times New Roman"/>
                <w:sz w:val="24"/>
                <w:szCs w:val="24"/>
              </w:rPr>
            </w:pPr>
          </w:p>
        </w:tc>
        <w:tc>
          <w:tcPr>
            <w:tcW w:w="564" w:type="pct"/>
          </w:tcPr>
          <w:p w:rsidR="00905D0F" w:rsidRPr="00EC20F8" w:rsidRDefault="00905D0F" w:rsidP="009A5AA2">
            <w:pPr>
              <w:jc w:val="both"/>
              <w:rPr>
                <w:rFonts w:ascii="Times New Roman" w:hAnsi="Times New Roman" w:cs="Times New Roman"/>
                <w:sz w:val="24"/>
                <w:szCs w:val="24"/>
              </w:rPr>
            </w:pPr>
          </w:p>
        </w:tc>
        <w:tc>
          <w:tcPr>
            <w:tcW w:w="577" w:type="pct"/>
          </w:tcPr>
          <w:p w:rsidR="00905D0F" w:rsidRPr="00EC20F8" w:rsidRDefault="00905D0F" w:rsidP="009A5AA2">
            <w:pPr>
              <w:jc w:val="both"/>
              <w:rPr>
                <w:rFonts w:ascii="Times New Roman" w:hAnsi="Times New Roman" w:cs="Times New Roman"/>
                <w:sz w:val="24"/>
                <w:szCs w:val="24"/>
              </w:rPr>
            </w:pPr>
          </w:p>
        </w:tc>
        <w:tc>
          <w:tcPr>
            <w:tcW w:w="511" w:type="pct"/>
          </w:tcPr>
          <w:p w:rsidR="00905D0F" w:rsidRPr="00EC20F8" w:rsidRDefault="00905D0F" w:rsidP="009A5AA2">
            <w:pPr>
              <w:jc w:val="both"/>
              <w:rPr>
                <w:rFonts w:ascii="Times New Roman" w:hAnsi="Times New Roman" w:cs="Times New Roman"/>
                <w:sz w:val="24"/>
                <w:szCs w:val="24"/>
              </w:rPr>
            </w:pPr>
          </w:p>
        </w:tc>
        <w:tc>
          <w:tcPr>
            <w:tcW w:w="527" w:type="pct"/>
          </w:tcPr>
          <w:p w:rsidR="00905D0F" w:rsidRPr="00EC20F8" w:rsidRDefault="00905D0F" w:rsidP="009A5AA2">
            <w:pPr>
              <w:jc w:val="both"/>
              <w:rPr>
                <w:rFonts w:ascii="Times New Roman" w:hAnsi="Times New Roman" w:cs="Times New Roman"/>
                <w:sz w:val="24"/>
                <w:szCs w:val="24"/>
              </w:rPr>
            </w:pPr>
          </w:p>
        </w:tc>
        <w:tc>
          <w:tcPr>
            <w:tcW w:w="473" w:type="pct"/>
          </w:tcPr>
          <w:p w:rsidR="00905D0F" w:rsidRPr="00EC20F8" w:rsidRDefault="00905D0F" w:rsidP="009A5AA2">
            <w:pPr>
              <w:jc w:val="both"/>
              <w:rPr>
                <w:rFonts w:ascii="Times New Roman" w:hAnsi="Times New Roman" w:cs="Times New Roman"/>
                <w:sz w:val="24"/>
                <w:szCs w:val="24"/>
              </w:rPr>
            </w:pPr>
          </w:p>
        </w:tc>
      </w:tr>
      <w:tr w:rsidR="00905D0F" w:rsidRPr="00EC20F8" w:rsidTr="009A5AA2">
        <w:trPr>
          <w:jc w:val="center"/>
        </w:trPr>
        <w:tc>
          <w:tcPr>
            <w:tcW w:w="1810" w:type="pct"/>
          </w:tcPr>
          <w:p w:rsidR="00905D0F" w:rsidRPr="00EC20F8" w:rsidRDefault="00905D0F" w:rsidP="009A5AA2">
            <w:pPr>
              <w:jc w:val="both"/>
              <w:rPr>
                <w:rFonts w:ascii="Times New Roman" w:hAnsi="Times New Roman" w:cs="Times New Roman"/>
                <w:sz w:val="24"/>
                <w:szCs w:val="24"/>
              </w:rPr>
            </w:pPr>
            <w:r w:rsidRPr="00EC20F8">
              <w:rPr>
                <w:rFonts w:ascii="Times New Roman" w:hAnsi="Times New Roman" w:cs="Times New Roman"/>
                <w:sz w:val="24"/>
                <w:szCs w:val="24"/>
              </w:rPr>
              <w:t>всего, тысяч долларов США</w:t>
            </w:r>
          </w:p>
        </w:tc>
        <w:tc>
          <w:tcPr>
            <w:tcW w:w="539" w:type="pct"/>
          </w:tcPr>
          <w:p w:rsidR="00905D0F" w:rsidRPr="00EC20F8" w:rsidRDefault="00905D0F" w:rsidP="009A5AA2">
            <w:pPr>
              <w:jc w:val="center"/>
              <w:rPr>
                <w:rFonts w:ascii="Times New Roman" w:hAnsi="Times New Roman" w:cs="Times New Roman"/>
              </w:rPr>
            </w:pPr>
            <w:r w:rsidRPr="00EC20F8">
              <w:rPr>
                <w:rFonts w:ascii="Times New Roman" w:hAnsi="Times New Roman" w:cs="Times New Roman"/>
              </w:rPr>
              <w:t>105 798</w:t>
            </w:r>
          </w:p>
        </w:tc>
        <w:tc>
          <w:tcPr>
            <w:tcW w:w="564" w:type="pct"/>
          </w:tcPr>
          <w:p w:rsidR="00905D0F" w:rsidRPr="00EC20F8" w:rsidRDefault="00905D0F" w:rsidP="009A5AA2">
            <w:pPr>
              <w:jc w:val="center"/>
              <w:rPr>
                <w:rFonts w:ascii="Times New Roman" w:hAnsi="Times New Roman" w:cs="Times New Roman"/>
              </w:rPr>
            </w:pPr>
            <w:r w:rsidRPr="00EC20F8">
              <w:rPr>
                <w:rFonts w:ascii="Times New Roman" w:hAnsi="Times New Roman" w:cs="Times New Roman"/>
              </w:rPr>
              <w:t>18 401</w:t>
            </w:r>
          </w:p>
        </w:tc>
        <w:tc>
          <w:tcPr>
            <w:tcW w:w="577" w:type="pct"/>
          </w:tcPr>
          <w:p w:rsidR="00905D0F" w:rsidRPr="00EC20F8" w:rsidRDefault="00905D0F" w:rsidP="009A5AA2">
            <w:pPr>
              <w:jc w:val="center"/>
              <w:rPr>
                <w:rFonts w:ascii="Times New Roman" w:hAnsi="Times New Roman" w:cs="Times New Roman"/>
              </w:rPr>
            </w:pPr>
            <w:r w:rsidRPr="00EC20F8">
              <w:rPr>
                <w:rFonts w:ascii="Times New Roman" w:hAnsi="Times New Roman" w:cs="Times New Roman"/>
              </w:rPr>
              <w:t>7 443</w:t>
            </w:r>
          </w:p>
        </w:tc>
        <w:tc>
          <w:tcPr>
            <w:tcW w:w="511" w:type="pct"/>
          </w:tcPr>
          <w:p w:rsidR="00905D0F" w:rsidRPr="00EC20F8" w:rsidRDefault="00905D0F" w:rsidP="009A5AA2">
            <w:pPr>
              <w:jc w:val="center"/>
              <w:rPr>
                <w:rFonts w:ascii="Times New Roman" w:hAnsi="Times New Roman" w:cs="Times New Roman"/>
              </w:rPr>
            </w:pPr>
            <w:r w:rsidRPr="00EC20F8">
              <w:rPr>
                <w:rFonts w:ascii="Times New Roman" w:hAnsi="Times New Roman" w:cs="Times New Roman"/>
              </w:rPr>
              <w:t>9 698</w:t>
            </w:r>
          </w:p>
        </w:tc>
        <w:tc>
          <w:tcPr>
            <w:tcW w:w="527" w:type="pct"/>
          </w:tcPr>
          <w:p w:rsidR="00905D0F" w:rsidRPr="00EC20F8" w:rsidRDefault="00905D0F" w:rsidP="009A5AA2">
            <w:pPr>
              <w:jc w:val="center"/>
              <w:rPr>
                <w:rFonts w:ascii="Times New Roman" w:hAnsi="Times New Roman" w:cs="Times New Roman"/>
              </w:rPr>
            </w:pPr>
            <w:r w:rsidRPr="00EC20F8">
              <w:rPr>
                <w:rFonts w:ascii="Times New Roman" w:hAnsi="Times New Roman" w:cs="Times New Roman"/>
              </w:rPr>
              <w:t>5 482</w:t>
            </w:r>
          </w:p>
        </w:tc>
        <w:tc>
          <w:tcPr>
            <w:tcW w:w="473" w:type="pct"/>
          </w:tcPr>
          <w:p w:rsidR="00905D0F" w:rsidRPr="00EC20F8" w:rsidRDefault="00905D0F" w:rsidP="009A5AA2">
            <w:pPr>
              <w:jc w:val="center"/>
              <w:rPr>
                <w:rFonts w:ascii="Times New Roman" w:hAnsi="Times New Roman" w:cs="Times New Roman"/>
              </w:rPr>
            </w:pPr>
            <w:r w:rsidRPr="00EC20F8">
              <w:rPr>
                <w:rFonts w:ascii="Times New Roman" w:hAnsi="Times New Roman" w:cs="Times New Roman"/>
              </w:rPr>
              <w:t>224</w:t>
            </w:r>
          </w:p>
        </w:tc>
      </w:tr>
      <w:tr w:rsidR="00905D0F" w:rsidRPr="00EC20F8" w:rsidTr="009A5AA2">
        <w:trPr>
          <w:jc w:val="center"/>
        </w:trPr>
        <w:tc>
          <w:tcPr>
            <w:tcW w:w="1810" w:type="pct"/>
          </w:tcPr>
          <w:p w:rsidR="00905D0F" w:rsidRPr="00EC20F8" w:rsidRDefault="00905D0F" w:rsidP="009A5AA2">
            <w:pPr>
              <w:rPr>
                <w:rFonts w:ascii="Times New Roman" w:hAnsi="Times New Roman" w:cs="Times New Roman"/>
                <w:sz w:val="24"/>
                <w:szCs w:val="24"/>
              </w:rPr>
            </w:pPr>
            <w:proofErr w:type="gramStart"/>
            <w:r w:rsidRPr="00EC20F8">
              <w:rPr>
                <w:rFonts w:ascii="Times New Roman" w:hAnsi="Times New Roman" w:cs="Times New Roman"/>
                <w:sz w:val="24"/>
                <w:szCs w:val="24"/>
              </w:rPr>
              <w:t>в</w:t>
            </w:r>
            <w:proofErr w:type="gramEnd"/>
            <w:r w:rsidRPr="00EC20F8">
              <w:rPr>
                <w:rFonts w:ascii="Times New Roman" w:hAnsi="Times New Roman" w:cs="Times New Roman"/>
                <w:sz w:val="24"/>
                <w:szCs w:val="24"/>
              </w:rPr>
              <w:t xml:space="preserve"> % </w:t>
            </w:r>
            <w:proofErr w:type="gramStart"/>
            <w:r w:rsidRPr="00EC20F8">
              <w:rPr>
                <w:rFonts w:ascii="Times New Roman" w:hAnsi="Times New Roman" w:cs="Times New Roman"/>
                <w:sz w:val="24"/>
                <w:szCs w:val="24"/>
              </w:rPr>
              <w:t>к</w:t>
            </w:r>
            <w:proofErr w:type="gramEnd"/>
            <w:r w:rsidRPr="00EC20F8">
              <w:rPr>
                <w:rFonts w:ascii="Times New Roman" w:hAnsi="Times New Roman" w:cs="Times New Roman"/>
                <w:sz w:val="24"/>
                <w:szCs w:val="24"/>
              </w:rPr>
              <w:t xml:space="preserve"> общему объему инвестиций, поступивших от иностранных инвесторов, в Камчатский край</w:t>
            </w:r>
          </w:p>
        </w:tc>
        <w:tc>
          <w:tcPr>
            <w:tcW w:w="539" w:type="pct"/>
          </w:tcPr>
          <w:p w:rsidR="00905D0F" w:rsidRPr="00EC20F8" w:rsidRDefault="00905D0F" w:rsidP="009A5AA2">
            <w:pPr>
              <w:jc w:val="center"/>
              <w:rPr>
                <w:rFonts w:ascii="Times New Roman" w:hAnsi="Times New Roman" w:cs="Times New Roman"/>
              </w:rPr>
            </w:pPr>
          </w:p>
          <w:p w:rsidR="00905D0F" w:rsidRPr="00EC20F8" w:rsidRDefault="00905D0F" w:rsidP="009A5AA2">
            <w:pPr>
              <w:jc w:val="center"/>
              <w:rPr>
                <w:rFonts w:ascii="Times New Roman" w:hAnsi="Times New Roman" w:cs="Times New Roman"/>
              </w:rPr>
            </w:pPr>
            <w:r w:rsidRPr="00EC20F8">
              <w:rPr>
                <w:rFonts w:ascii="Times New Roman" w:hAnsi="Times New Roman" w:cs="Times New Roman"/>
              </w:rPr>
              <w:t>53,0</w:t>
            </w:r>
          </w:p>
        </w:tc>
        <w:tc>
          <w:tcPr>
            <w:tcW w:w="564" w:type="pct"/>
          </w:tcPr>
          <w:p w:rsidR="00905D0F" w:rsidRPr="00EC20F8" w:rsidRDefault="00905D0F" w:rsidP="009A5AA2">
            <w:pPr>
              <w:jc w:val="center"/>
              <w:rPr>
                <w:rFonts w:ascii="Times New Roman" w:hAnsi="Times New Roman" w:cs="Times New Roman"/>
              </w:rPr>
            </w:pPr>
          </w:p>
          <w:p w:rsidR="00905D0F" w:rsidRPr="00EC20F8" w:rsidRDefault="00905D0F" w:rsidP="009A5AA2">
            <w:pPr>
              <w:jc w:val="center"/>
              <w:rPr>
                <w:rFonts w:ascii="Times New Roman" w:hAnsi="Times New Roman" w:cs="Times New Roman"/>
              </w:rPr>
            </w:pPr>
            <w:r w:rsidRPr="00EC20F8">
              <w:rPr>
                <w:rFonts w:ascii="Times New Roman" w:hAnsi="Times New Roman" w:cs="Times New Roman"/>
              </w:rPr>
              <w:t>33,8</w:t>
            </w:r>
          </w:p>
        </w:tc>
        <w:tc>
          <w:tcPr>
            <w:tcW w:w="577" w:type="pct"/>
          </w:tcPr>
          <w:p w:rsidR="00905D0F" w:rsidRPr="00EC20F8" w:rsidRDefault="00905D0F" w:rsidP="009A5AA2">
            <w:pPr>
              <w:jc w:val="center"/>
              <w:rPr>
                <w:rFonts w:ascii="Times New Roman" w:hAnsi="Times New Roman" w:cs="Times New Roman"/>
              </w:rPr>
            </w:pPr>
          </w:p>
          <w:p w:rsidR="00905D0F" w:rsidRPr="00EC20F8" w:rsidRDefault="00905D0F" w:rsidP="009A5AA2">
            <w:pPr>
              <w:jc w:val="center"/>
              <w:rPr>
                <w:rFonts w:ascii="Times New Roman" w:hAnsi="Times New Roman" w:cs="Times New Roman"/>
              </w:rPr>
            </w:pPr>
            <w:r w:rsidRPr="00EC20F8">
              <w:rPr>
                <w:rFonts w:ascii="Times New Roman" w:hAnsi="Times New Roman" w:cs="Times New Roman"/>
              </w:rPr>
              <w:t>22,3</w:t>
            </w:r>
          </w:p>
        </w:tc>
        <w:tc>
          <w:tcPr>
            <w:tcW w:w="511" w:type="pct"/>
          </w:tcPr>
          <w:p w:rsidR="00905D0F" w:rsidRPr="00EC20F8" w:rsidRDefault="00905D0F" w:rsidP="009A5AA2">
            <w:pPr>
              <w:jc w:val="center"/>
              <w:rPr>
                <w:rFonts w:ascii="Times New Roman" w:hAnsi="Times New Roman" w:cs="Times New Roman"/>
              </w:rPr>
            </w:pPr>
          </w:p>
          <w:p w:rsidR="00905D0F" w:rsidRPr="00EC20F8" w:rsidRDefault="00905D0F" w:rsidP="009A5AA2">
            <w:pPr>
              <w:jc w:val="center"/>
              <w:rPr>
                <w:rFonts w:ascii="Times New Roman" w:hAnsi="Times New Roman" w:cs="Times New Roman"/>
              </w:rPr>
            </w:pPr>
            <w:r w:rsidRPr="00EC20F8">
              <w:rPr>
                <w:rFonts w:ascii="Times New Roman" w:hAnsi="Times New Roman" w:cs="Times New Roman"/>
              </w:rPr>
              <w:t>28,3</w:t>
            </w:r>
          </w:p>
        </w:tc>
        <w:tc>
          <w:tcPr>
            <w:tcW w:w="527" w:type="pct"/>
          </w:tcPr>
          <w:p w:rsidR="00905D0F" w:rsidRPr="00EC20F8" w:rsidRDefault="00905D0F" w:rsidP="009A5AA2">
            <w:pPr>
              <w:jc w:val="center"/>
              <w:rPr>
                <w:rFonts w:ascii="Times New Roman" w:hAnsi="Times New Roman" w:cs="Times New Roman"/>
              </w:rPr>
            </w:pPr>
          </w:p>
          <w:p w:rsidR="00905D0F" w:rsidRPr="00EC20F8" w:rsidRDefault="00905D0F" w:rsidP="009A5AA2">
            <w:pPr>
              <w:jc w:val="center"/>
              <w:rPr>
                <w:rFonts w:ascii="Times New Roman" w:hAnsi="Times New Roman" w:cs="Times New Roman"/>
              </w:rPr>
            </w:pPr>
            <w:r w:rsidRPr="00EC20F8">
              <w:rPr>
                <w:rFonts w:ascii="Times New Roman" w:hAnsi="Times New Roman" w:cs="Times New Roman"/>
              </w:rPr>
              <w:t>93,6</w:t>
            </w:r>
          </w:p>
        </w:tc>
        <w:tc>
          <w:tcPr>
            <w:tcW w:w="473" w:type="pct"/>
          </w:tcPr>
          <w:p w:rsidR="00905D0F" w:rsidRPr="00EC20F8" w:rsidRDefault="00905D0F" w:rsidP="009A5AA2">
            <w:pPr>
              <w:jc w:val="center"/>
              <w:rPr>
                <w:rFonts w:ascii="Times New Roman" w:hAnsi="Times New Roman" w:cs="Times New Roman"/>
              </w:rPr>
            </w:pPr>
          </w:p>
          <w:p w:rsidR="00905D0F" w:rsidRPr="00EC20F8" w:rsidRDefault="00905D0F" w:rsidP="009A5AA2">
            <w:pPr>
              <w:jc w:val="center"/>
              <w:rPr>
                <w:rFonts w:ascii="Times New Roman" w:hAnsi="Times New Roman" w:cs="Times New Roman"/>
              </w:rPr>
            </w:pPr>
            <w:r w:rsidRPr="00EC20F8">
              <w:rPr>
                <w:rFonts w:ascii="Times New Roman" w:hAnsi="Times New Roman" w:cs="Times New Roman"/>
              </w:rPr>
              <w:t>17,1</w:t>
            </w:r>
          </w:p>
        </w:tc>
      </w:tr>
    </w:tbl>
    <w:p w:rsidR="00905D0F" w:rsidRPr="00EC20F8" w:rsidRDefault="00905D0F" w:rsidP="00905D0F">
      <w:pPr>
        <w:spacing w:before="120" w:after="120"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Сохраняется высокий уровень инвестиционной активности малых предприятий. В 2013 году их доля в совокупном объеме инвестиций в основной капитал за счет всех источников финансирования составила              30,21 %. Данная тенденция отражена на рисунке 4.1.2.</w:t>
      </w:r>
    </w:p>
    <w:p w:rsidR="00905D0F" w:rsidRPr="00EC20F8" w:rsidRDefault="00905D0F" w:rsidP="00905D0F">
      <w:pPr>
        <w:spacing w:before="80" w:after="120" w:line="240" w:lineRule="auto"/>
        <w:jc w:val="center"/>
        <w:rPr>
          <w:rFonts w:ascii="Times New Roman" w:hAnsi="Times New Roman" w:cs="Times New Roman"/>
          <w:i/>
          <w:sz w:val="20"/>
          <w:szCs w:val="20"/>
          <w:highlight w:val="yellow"/>
        </w:rPr>
      </w:pPr>
      <w:r w:rsidRPr="00EC20F8">
        <w:rPr>
          <w:rFonts w:ascii="Times New Roman" w:hAnsi="Times New Roman" w:cs="Times New Roman"/>
          <w:i/>
          <w:noProof/>
          <w:sz w:val="20"/>
          <w:szCs w:val="20"/>
          <w:lang w:eastAsia="ru-RU"/>
        </w:rPr>
        <w:drawing>
          <wp:inline distT="0" distB="0" distL="0" distR="0">
            <wp:extent cx="5800725" cy="2000250"/>
            <wp:effectExtent l="19050" t="0" r="9525" b="0"/>
            <wp:docPr id="7"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05D0F" w:rsidRPr="00EC20F8" w:rsidRDefault="00905D0F" w:rsidP="00905D0F">
      <w:pPr>
        <w:spacing w:line="240" w:lineRule="auto"/>
        <w:jc w:val="center"/>
        <w:rPr>
          <w:rFonts w:ascii="Times New Roman" w:hAnsi="Times New Roman" w:cs="Times New Roman"/>
          <w:i/>
          <w:sz w:val="24"/>
          <w:szCs w:val="24"/>
        </w:rPr>
      </w:pPr>
      <w:r w:rsidRPr="00EC20F8">
        <w:rPr>
          <w:rFonts w:ascii="Times New Roman" w:hAnsi="Times New Roman" w:cs="Times New Roman"/>
          <w:i/>
          <w:sz w:val="24"/>
          <w:szCs w:val="24"/>
        </w:rPr>
        <w:t>Рис. 4.1.2 Структура инвестиций в основной капитал в городском округе за 2011-2013 годы  и оценочное значение на 2014 год, %</w:t>
      </w:r>
    </w:p>
    <w:p w:rsidR="00905D0F" w:rsidRPr="00EC20F8" w:rsidRDefault="00905D0F" w:rsidP="00905D0F">
      <w:pPr>
        <w:tabs>
          <w:tab w:val="left" w:pos="851"/>
        </w:tabs>
        <w:spacing w:line="228" w:lineRule="auto"/>
        <w:ind w:firstLine="851"/>
        <w:jc w:val="both"/>
        <w:rPr>
          <w:rFonts w:ascii="Times New Roman" w:hAnsi="Times New Roman" w:cs="Times New Roman"/>
          <w:sz w:val="28"/>
          <w:szCs w:val="28"/>
          <w:highlight w:val="yellow"/>
        </w:rPr>
      </w:pPr>
    </w:p>
    <w:p w:rsidR="00905D0F" w:rsidRPr="00EC20F8" w:rsidRDefault="00905D0F" w:rsidP="00905D0F">
      <w:pPr>
        <w:tabs>
          <w:tab w:val="left" w:pos="851"/>
        </w:tabs>
        <w:spacing w:line="228" w:lineRule="auto"/>
        <w:ind w:firstLine="851"/>
        <w:jc w:val="both"/>
        <w:rPr>
          <w:rFonts w:ascii="Times New Roman" w:hAnsi="Times New Roman" w:cs="Times New Roman"/>
          <w:sz w:val="28"/>
          <w:szCs w:val="28"/>
        </w:rPr>
      </w:pPr>
      <w:r w:rsidRPr="00EC20F8">
        <w:rPr>
          <w:rFonts w:ascii="Times New Roman" w:hAnsi="Times New Roman" w:cs="Times New Roman"/>
          <w:sz w:val="28"/>
          <w:szCs w:val="28"/>
        </w:rPr>
        <w:t>Важную роль в инвестиционном процессе играют бюджетные инвестиции. Бюджеты всех уровней обеспечили в совокупности 46,2 % всех инвестиций в основной капитал, осуществлявшихся крупными и средними предприятиями, 53,8 % - собственные средства (прибыль, амортизация) и другие средства (кредитные  ресурсы).</w:t>
      </w:r>
      <w:r w:rsidRPr="00EC20F8">
        <w:rPr>
          <w:rFonts w:ascii="Times New Roman" w:hAnsi="Times New Roman" w:cs="Times New Roman"/>
          <w:noProof/>
          <w:sz w:val="28"/>
          <w:szCs w:val="28"/>
          <w:bdr w:val="single" w:sz="2" w:space="0" w:color="auto"/>
          <w:lang w:eastAsia="ru-RU"/>
        </w:rPr>
        <w:t xml:space="preserve"> </w:t>
      </w:r>
    </w:p>
    <w:p w:rsidR="00905D0F" w:rsidRPr="00EC20F8" w:rsidRDefault="00905D0F" w:rsidP="00905D0F">
      <w:pPr>
        <w:spacing w:line="240" w:lineRule="auto"/>
        <w:rPr>
          <w:rFonts w:ascii="Times New Roman" w:hAnsi="Times New Roman" w:cs="Times New Roman"/>
          <w:i/>
          <w:sz w:val="24"/>
          <w:szCs w:val="24"/>
          <w:highlight w:val="yellow"/>
        </w:rPr>
      </w:pPr>
    </w:p>
    <w:p w:rsidR="00905D0F" w:rsidRPr="00EC20F8" w:rsidRDefault="00905D0F" w:rsidP="00905D0F">
      <w:pPr>
        <w:spacing w:line="240" w:lineRule="auto"/>
        <w:jc w:val="center"/>
        <w:rPr>
          <w:rFonts w:ascii="Times New Roman" w:hAnsi="Times New Roman" w:cs="Times New Roman"/>
          <w:i/>
          <w:sz w:val="24"/>
          <w:szCs w:val="24"/>
          <w:highlight w:val="yellow"/>
        </w:rPr>
      </w:pPr>
      <w:r w:rsidRPr="00EC20F8">
        <w:rPr>
          <w:rFonts w:ascii="Times New Roman" w:hAnsi="Times New Roman" w:cs="Times New Roman"/>
          <w:i/>
          <w:noProof/>
          <w:sz w:val="24"/>
          <w:szCs w:val="24"/>
          <w:lang w:eastAsia="ru-RU"/>
        </w:rPr>
        <w:drawing>
          <wp:inline distT="0" distB="0" distL="0" distR="0">
            <wp:extent cx="5076825" cy="1771650"/>
            <wp:effectExtent l="19050" t="0" r="0" b="0"/>
            <wp:docPr id="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05D0F" w:rsidRPr="00EC20F8" w:rsidRDefault="00905D0F" w:rsidP="00905D0F">
      <w:pPr>
        <w:spacing w:line="240" w:lineRule="auto"/>
        <w:jc w:val="center"/>
        <w:rPr>
          <w:rFonts w:ascii="Times New Roman" w:hAnsi="Times New Roman" w:cs="Times New Roman"/>
          <w:i/>
          <w:sz w:val="24"/>
          <w:szCs w:val="24"/>
          <w:highlight w:val="yellow"/>
        </w:rPr>
      </w:pPr>
    </w:p>
    <w:p w:rsidR="00905D0F" w:rsidRPr="00EC20F8" w:rsidRDefault="00905D0F" w:rsidP="00905D0F">
      <w:pPr>
        <w:spacing w:line="240" w:lineRule="auto"/>
        <w:jc w:val="center"/>
        <w:rPr>
          <w:rFonts w:ascii="Times New Roman" w:hAnsi="Times New Roman" w:cs="Times New Roman"/>
          <w:i/>
          <w:sz w:val="24"/>
          <w:szCs w:val="24"/>
        </w:rPr>
      </w:pPr>
      <w:r w:rsidRPr="00EC20F8">
        <w:rPr>
          <w:rFonts w:ascii="Times New Roman" w:hAnsi="Times New Roman" w:cs="Times New Roman"/>
          <w:i/>
          <w:sz w:val="24"/>
          <w:szCs w:val="24"/>
        </w:rPr>
        <w:t>Рис.4.1.3 Структура инвестиции в основной капитал по источникам финансирования за 2013 год, по крупным и средним предприятиям в городском округе, %</w:t>
      </w:r>
    </w:p>
    <w:p w:rsidR="00905D0F" w:rsidRPr="00EC20F8" w:rsidRDefault="00905D0F" w:rsidP="00905D0F">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Ожидается, что в 2014 году объем инвестиций в основной капитал за счет всех источников финансирования сложится в городском округе на уровне  </w:t>
      </w:r>
      <w:r w:rsidRPr="00EC20F8">
        <w:rPr>
          <w:rFonts w:ascii="Times New Roman" w:eastAsia="Times New Roman" w:hAnsi="Times New Roman" w:cs="Times New Roman"/>
          <w:sz w:val="28"/>
          <w:szCs w:val="28"/>
          <w:lang w:eastAsia="ru-RU"/>
        </w:rPr>
        <w:t xml:space="preserve">24  972,84 </w:t>
      </w:r>
      <w:r w:rsidRPr="00EC20F8">
        <w:rPr>
          <w:rFonts w:ascii="Times New Roman" w:hAnsi="Times New Roman" w:cs="Times New Roman"/>
          <w:sz w:val="28"/>
          <w:szCs w:val="28"/>
        </w:rPr>
        <w:t xml:space="preserve">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что на 5,0 % выше уровня 2013 года (индекс физического объема, по оценке, составит 100,55 %). </w:t>
      </w:r>
    </w:p>
    <w:p w:rsidR="00905D0F" w:rsidRPr="00EC20F8" w:rsidRDefault="00905D0F" w:rsidP="00905D0F">
      <w:pPr>
        <w:ind w:firstLine="709"/>
        <w:jc w:val="both"/>
        <w:rPr>
          <w:rFonts w:ascii="Times New Roman" w:eastAsia="Calibri" w:hAnsi="Times New Roman" w:cs="Times New Roman"/>
          <w:sz w:val="28"/>
          <w:szCs w:val="28"/>
        </w:rPr>
      </w:pPr>
      <w:r w:rsidRPr="00EC20F8">
        <w:rPr>
          <w:rFonts w:ascii="Times New Roman" w:hAnsi="Times New Roman" w:cs="Times New Roman"/>
          <w:sz w:val="28"/>
          <w:szCs w:val="28"/>
        </w:rPr>
        <w:t>В плановом периоде о</w:t>
      </w:r>
      <w:r w:rsidRPr="00EC20F8">
        <w:rPr>
          <w:rFonts w:ascii="Times New Roman" w:eastAsia="Calibri" w:hAnsi="Times New Roman" w:cs="Times New Roman"/>
          <w:sz w:val="28"/>
          <w:szCs w:val="28"/>
        </w:rPr>
        <w:t xml:space="preserve">бщий объем инвестиций в основной капитал по полному кругу предприятий всех форм собственности будет варьировать в пределах от </w:t>
      </w:r>
      <w:r w:rsidRPr="00EC20F8">
        <w:rPr>
          <w:rFonts w:ascii="Times New Roman" w:eastAsia="Times New Roman" w:hAnsi="Times New Roman" w:cs="Times New Roman"/>
          <w:sz w:val="28"/>
          <w:szCs w:val="28"/>
          <w:lang w:eastAsia="ru-RU"/>
        </w:rPr>
        <w:t xml:space="preserve">26 738,89 </w:t>
      </w:r>
      <w:proofErr w:type="spellStart"/>
      <w:proofErr w:type="gramStart"/>
      <w:r w:rsidRPr="00EC20F8">
        <w:rPr>
          <w:rFonts w:ascii="Times New Roman" w:eastAsia="Calibri" w:hAnsi="Times New Roman" w:cs="Times New Roman"/>
          <w:sz w:val="28"/>
          <w:szCs w:val="28"/>
        </w:rPr>
        <w:t>млн</w:t>
      </w:r>
      <w:proofErr w:type="spellEnd"/>
      <w:proofErr w:type="gramEnd"/>
      <w:r w:rsidRPr="00EC20F8">
        <w:rPr>
          <w:rFonts w:ascii="Times New Roman" w:eastAsia="Calibri" w:hAnsi="Times New Roman" w:cs="Times New Roman"/>
          <w:sz w:val="28"/>
          <w:szCs w:val="28"/>
        </w:rPr>
        <w:t xml:space="preserve"> рублей в 2015 году до </w:t>
      </w:r>
      <w:r w:rsidRPr="00EC20F8">
        <w:rPr>
          <w:rFonts w:ascii="Times New Roman" w:eastAsia="Times New Roman" w:hAnsi="Times New Roman" w:cs="Times New Roman"/>
          <w:sz w:val="28"/>
          <w:szCs w:val="28"/>
          <w:lang w:eastAsia="ru-RU"/>
        </w:rPr>
        <w:t xml:space="preserve">28 642,70  </w:t>
      </w:r>
      <w:proofErr w:type="spellStart"/>
      <w:r w:rsidRPr="00EC20F8">
        <w:rPr>
          <w:rFonts w:ascii="Times New Roman" w:eastAsia="Calibri" w:hAnsi="Times New Roman" w:cs="Times New Roman"/>
          <w:sz w:val="28"/>
          <w:szCs w:val="28"/>
        </w:rPr>
        <w:t>млн</w:t>
      </w:r>
      <w:proofErr w:type="spellEnd"/>
      <w:r w:rsidRPr="00EC20F8">
        <w:rPr>
          <w:rFonts w:ascii="Times New Roman" w:eastAsia="Calibri" w:hAnsi="Times New Roman" w:cs="Times New Roman"/>
          <w:sz w:val="28"/>
          <w:szCs w:val="28"/>
        </w:rPr>
        <w:t xml:space="preserve"> рублей в 2017 году с общей позитивной тенденцией роста объема (в ценах соответствующих лет) по годом (рис. 4.1.4).</w:t>
      </w:r>
    </w:p>
    <w:p w:rsidR="00905D0F" w:rsidRPr="00EC20F8" w:rsidRDefault="00905D0F" w:rsidP="00905D0F">
      <w:pPr>
        <w:ind w:firstLine="709"/>
        <w:jc w:val="both"/>
        <w:rPr>
          <w:rFonts w:ascii="Times New Roman" w:eastAsia="Calibri" w:hAnsi="Times New Roman" w:cs="Times New Roman"/>
          <w:sz w:val="28"/>
          <w:szCs w:val="28"/>
        </w:rPr>
      </w:pPr>
    </w:p>
    <w:p w:rsidR="00905D0F" w:rsidRPr="00EC20F8" w:rsidRDefault="00905D0F" w:rsidP="00905D0F">
      <w:pPr>
        <w:ind w:firstLine="709"/>
        <w:jc w:val="both"/>
        <w:rPr>
          <w:rFonts w:ascii="Times New Roman" w:eastAsia="Calibri" w:hAnsi="Times New Roman" w:cs="Times New Roman"/>
          <w:sz w:val="28"/>
          <w:szCs w:val="28"/>
        </w:rPr>
      </w:pPr>
      <w:r w:rsidRPr="00EC20F8">
        <w:rPr>
          <w:rFonts w:ascii="Times New Roman" w:eastAsia="Calibri" w:hAnsi="Times New Roman" w:cs="Times New Roman"/>
          <w:noProof/>
          <w:sz w:val="28"/>
          <w:szCs w:val="28"/>
          <w:bdr w:val="single" w:sz="4" w:space="0" w:color="auto"/>
          <w:lang w:eastAsia="ru-RU"/>
        </w:rPr>
        <w:drawing>
          <wp:inline distT="0" distB="0" distL="0" distR="0">
            <wp:extent cx="5124450" cy="2886075"/>
            <wp:effectExtent l="0" t="0" r="0" b="0"/>
            <wp:docPr id="30"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905D0F" w:rsidRPr="00EC20F8" w:rsidRDefault="00905D0F" w:rsidP="00905D0F">
      <w:pPr>
        <w:ind w:firstLine="709"/>
        <w:jc w:val="both"/>
        <w:rPr>
          <w:rFonts w:ascii="Times New Roman" w:hAnsi="Times New Roman" w:cs="Times New Roman"/>
          <w:i/>
          <w:sz w:val="12"/>
          <w:szCs w:val="12"/>
        </w:rPr>
      </w:pPr>
    </w:p>
    <w:p w:rsidR="00905D0F" w:rsidRPr="00EC20F8" w:rsidRDefault="00905D0F" w:rsidP="00905D0F">
      <w:pPr>
        <w:ind w:firstLine="709"/>
        <w:jc w:val="both"/>
        <w:rPr>
          <w:rFonts w:ascii="Times New Roman" w:hAnsi="Times New Roman" w:cs="Times New Roman"/>
          <w:i/>
        </w:rPr>
      </w:pPr>
      <w:r w:rsidRPr="00EC20F8">
        <w:rPr>
          <w:rFonts w:ascii="Times New Roman" w:hAnsi="Times New Roman" w:cs="Times New Roman"/>
          <w:i/>
          <w:sz w:val="24"/>
          <w:szCs w:val="24"/>
        </w:rPr>
        <w:t xml:space="preserve">Рис.4.1.4. </w:t>
      </w:r>
      <w:r w:rsidRPr="00EC20F8">
        <w:rPr>
          <w:rFonts w:ascii="Times New Roman" w:eastAsia="+mn-ea" w:hAnsi="Times New Roman" w:cs="Times New Roman"/>
          <w:bCs/>
          <w:i/>
          <w:sz w:val="24"/>
          <w:szCs w:val="24"/>
          <w:lang w:eastAsia="ru-RU"/>
        </w:rPr>
        <w:t>Прогноз и</w:t>
      </w:r>
      <w:r w:rsidRPr="00EC20F8">
        <w:rPr>
          <w:rFonts w:ascii="Times New Roman" w:hAnsi="Times New Roman" w:cs="Times New Roman"/>
          <w:bCs/>
          <w:i/>
        </w:rPr>
        <w:t>нвестиций в основной капитал на период 2015-2017 годы</w:t>
      </w:r>
    </w:p>
    <w:p w:rsidR="00905D0F" w:rsidRPr="00EC20F8" w:rsidRDefault="00905D0F" w:rsidP="00905D0F">
      <w:pPr>
        <w:ind w:firstLine="709"/>
        <w:jc w:val="both"/>
        <w:rPr>
          <w:rFonts w:ascii="Times New Roman" w:eastAsia="Calibri" w:hAnsi="Times New Roman" w:cs="Times New Roman"/>
          <w:sz w:val="28"/>
          <w:szCs w:val="28"/>
        </w:rPr>
      </w:pPr>
    </w:p>
    <w:p w:rsidR="00905D0F" w:rsidRPr="00EC20F8" w:rsidRDefault="00905D0F" w:rsidP="00905D0F">
      <w:pPr>
        <w:tabs>
          <w:tab w:val="left" w:pos="1134"/>
        </w:tabs>
        <w:spacing w:line="240" w:lineRule="auto"/>
        <w:ind w:firstLine="709"/>
        <w:jc w:val="both"/>
        <w:rPr>
          <w:rFonts w:ascii="Times New Roman" w:hAnsi="Times New Roman" w:cs="Times New Roman"/>
          <w:sz w:val="28"/>
          <w:szCs w:val="28"/>
        </w:rPr>
      </w:pPr>
      <w:r w:rsidRPr="00EC20F8">
        <w:rPr>
          <w:rFonts w:ascii="Times New Roman" w:eastAsia="Calibri" w:hAnsi="Times New Roman" w:cs="Times New Roman"/>
          <w:sz w:val="28"/>
          <w:szCs w:val="28"/>
        </w:rPr>
        <w:t>Определяющее влияние на динамику показателей инвестиционной деятельности в течение прогнозного периода будет оказывать уровень финансирования из краевого бюджета реализуемых и планируемых к реализации на территории городского округа Государственных программ Камчатского края и инфраструктурных проектов.</w:t>
      </w:r>
    </w:p>
    <w:p w:rsidR="00905D0F" w:rsidRPr="00EC20F8" w:rsidRDefault="00905D0F" w:rsidP="00905D0F">
      <w:pPr>
        <w:spacing w:line="240" w:lineRule="auto"/>
        <w:ind w:firstLine="709"/>
        <w:jc w:val="both"/>
        <w:rPr>
          <w:rFonts w:ascii="Times New Roman" w:eastAsia="Calibri" w:hAnsi="Times New Roman" w:cs="Times New Roman"/>
          <w:sz w:val="28"/>
          <w:szCs w:val="28"/>
        </w:rPr>
      </w:pPr>
      <w:proofErr w:type="gramStart"/>
      <w:r w:rsidRPr="00EC20F8">
        <w:rPr>
          <w:rFonts w:ascii="Times New Roman" w:eastAsia="Calibri" w:hAnsi="Times New Roman" w:cs="Times New Roman"/>
          <w:bCs/>
          <w:iCs/>
          <w:sz w:val="28"/>
          <w:szCs w:val="28"/>
        </w:rPr>
        <w:t xml:space="preserve">Прогноз усиления инвестиционной активности </w:t>
      </w:r>
      <w:r w:rsidRPr="00EC20F8">
        <w:rPr>
          <w:rFonts w:ascii="Times New Roman" w:eastAsia="Calibri" w:hAnsi="Times New Roman" w:cs="Times New Roman"/>
          <w:sz w:val="28"/>
          <w:szCs w:val="28"/>
        </w:rPr>
        <w:t>базируется на выполнении намеченных Правительством Камчатского края на среднесрочный период мер</w:t>
      </w:r>
      <w:r w:rsidRPr="00EC20F8">
        <w:rPr>
          <w:rFonts w:ascii="Times New Roman" w:eastAsia="Calibri" w:hAnsi="Times New Roman" w:cs="Times New Roman"/>
          <w:bCs/>
          <w:iCs/>
          <w:sz w:val="28"/>
          <w:szCs w:val="28"/>
        </w:rPr>
        <w:t xml:space="preserve">, направленных на развитие транспортной инфраструктуры, жилищного строительства, строительства и модернизации объектов </w:t>
      </w:r>
      <w:r w:rsidRPr="00EC20F8">
        <w:rPr>
          <w:rFonts w:ascii="Times New Roman" w:eastAsia="Calibri" w:hAnsi="Times New Roman" w:cs="Times New Roman"/>
          <w:sz w:val="28"/>
          <w:szCs w:val="28"/>
        </w:rPr>
        <w:t xml:space="preserve">жилищно-коммунального комплекса, на преобразование социальной инфраструктуры, и обязательном своевременном финансировании из краевого бюджета основных мероприятий Государственных программ Камчатского края, реализуемых в городском округе. </w:t>
      </w:r>
      <w:proofErr w:type="gramEnd"/>
    </w:p>
    <w:p w:rsidR="00905D0F" w:rsidRPr="00EC20F8" w:rsidRDefault="00905D0F" w:rsidP="00905D0F">
      <w:pPr>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xml:space="preserve">В целях развития транспортного, рыболовного и промышленного потенциала Камчатки Правительством Камчатского края планируется реализация проекта по созданию территории опережающего социально-экономического развития «Камчатка» (далее – ТОСЭР «Камчатка»). Проект позволит получить положительные результаты в развитии туризма, минерально-сырьевого комплекса, сельского хозяйства и сферы услуг. Резидентами проекта станут не только российские, но и международные компании. Свой интерес к проекту уже проявили китайские, японские и южнокорейские партнеры. </w:t>
      </w:r>
    </w:p>
    <w:p w:rsidR="00905D0F" w:rsidRPr="00EC20F8" w:rsidRDefault="00905D0F" w:rsidP="00905D0F">
      <w:pPr>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В настоящее время проект находится в стадии первичной проработки: определена общая концепция, требуемые земельные участки, отдельные потенциальные резиденты.</w:t>
      </w:r>
    </w:p>
    <w:p w:rsidR="00905D0F" w:rsidRPr="00EC20F8" w:rsidRDefault="00905D0F" w:rsidP="00905D0F">
      <w:pPr>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xml:space="preserve">Проект ТОСЭР «Камчатка» включает в себя создание и реконструкцию существующей транспортной инфраструктуры (международный морской вокзал, пункты пропуска, глубоководные причалы), обеспечивающей прием зарубежных круизных судов и соответственно приток туристов.   </w:t>
      </w:r>
    </w:p>
    <w:p w:rsidR="00905D0F" w:rsidRPr="00EC20F8" w:rsidRDefault="00905D0F" w:rsidP="00905D0F">
      <w:pPr>
        <w:spacing w:line="240" w:lineRule="auto"/>
        <w:ind w:firstLine="709"/>
        <w:jc w:val="both"/>
        <w:rPr>
          <w:rFonts w:ascii="Times New Roman" w:eastAsia="Calibri" w:hAnsi="Times New Roman" w:cs="Times New Roman"/>
          <w:iCs/>
          <w:sz w:val="28"/>
          <w:szCs w:val="28"/>
        </w:rPr>
      </w:pPr>
      <w:r w:rsidRPr="00EC20F8">
        <w:rPr>
          <w:rFonts w:ascii="Times New Roman" w:eastAsia="Calibri" w:hAnsi="Times New Roman" w:cs="Times New Roman"/>
          <w:sz w:val="28"/>
          <w:szCs w:val="28"/>
        </w:rPr>
        <w:t xml:space="preserve">В состав </w:t>
      </w:r>
      <w:proofErr w:type="spellStart"/>
      <w:r w:rsidRPr="00EC20F8">
        <w:rPr>
          <w:rFonts w:ascii="Times New Roman" w:eastAsia="Calibri" w:hAnsi="Times New Roman" w:cs="Times New Roman"/>
          <w:sz w:val="28"/>
          <w:szCs w:val="28"/>
        </w:rPr>
        <w:t>портово</w:t>
      </w:r>
      <w:proofErr w:type="spellEnd"/>
      <w:r w:rsidRPr="00EC20F8">
        <w:rPr>
          <w:rFonts w:ascii="Times New Roman" w:eastAsia="Calibri" w:hAnsi="Times New Roman" w:cs="Times New Roman"/>
          <w:sz w:val="28"/>
          <w:szCs w:val="28"/>
        </w:rPr>
        <w:t>–</w:t>
      </w:r>
      <w:proofErr w:type="spellStart"/>
      <w:r w:rsidRPr="00EC20F8">
        <w:rPr>
          <w:rFonts w:ascii="Times New Roman" w:eastAsia="Calibri" w:hAnsi="Times New Roman" w:cs="Times New Roman"/>
          <w:sz w:val="28"/>
          <w:szCs w:val="28"/>
        </w:rPr>
        <w:t>логистического</w:t>
      </w:r>
      <w:proofErr w:type="spellEnd"/>
      <w:r w:rsidRPr="00EC20F8">
        <w:rPr>
          <w:rFonts w:ascii="Times New Roman" w:eastAsia="Calibri" w:hAnsi="Times New Roman" w:cs="Times New Roman"/>
          <w:sz w:val="28"/>
          <w:szCs w:val="28"/>
        </w:rPr>
        <w:t xml:space="preserve"> центра </w:t>
      </w:r>
      <w:r w:rsidRPr="00EC20F8">
        <w:rPr>
          <w:rFonts w:ascii="Times New Roman" w:eastAsia="Calibri" w:hAnsi="Times New Roman" w:cs="Times New Roman"/>
          <w:iCs/>
          <w:sz w:val="28"/>
          <w:szCs w:val="28"/>
        </w:rPr>
        <w:t>ТОСЭР «Камчатка» войдут следующие функциональные зоны:</w:t>
      </w:r>
    </w:p>
    <w:p w:rsidR="00905D0F" w:rsidRPr="00EC20F8" w:rsidRDefault="00905D0F" w:rsidP="00905D0F">
      <w:pPr>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iCs/>
          <w:sz w:val="28"/>
          <w:szCs w:val="28"/>
        </w:rPr>
        <w:t>-</w:t>
      </w:r>
      <w:r w:rsidRPr="00EC20F8">
        <w:rPr>
          <w:rFonts w:ascii="Times New Roman" w:eastAsia="Calibri" w:hAnsi="Times New Roman" w:cs="Times New Roman"/>
          <w:sz w:val="28"/>
          <w:szCs w:val="28"/>
        </w:rPr>
        <w:t xml:space="preserve"> многофункциональный транзитный грузовой терминал  для  обработки транзитных грузов, следующих из Юго-Восточной Азии в Европу и в обратном направлении;</w:t>
      </w:r>
    </w:p>
    <w:p w:rsidR="00905D0F" w:rsidRPr="00EC20F8" w:rsidRDefault="00905D0F" w:rsidP="00905D0F">
      <w:pPr>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xml:space="preserve">- многофункциональный терминал </w:t>
      </w:r>
      <w:proofErr w:type="spellStart"/>
      <w:r w:rsidRPr="00EC20F8">
        <w:rPr>
          <w:rFonts w:ascii="Times New Roman" w:eastAsia="Calibri" w:hAnsi="Times New Roman" w:cs="Times New Roman"/>
          <w:sz w:val="28"/>
          <w:szCs w:val="28"/>
        </w:rPr>
        <w:t>рыбохозяйственного</w:t>
      </w:r>
      <w:proofErr w:type="spellEnd"/>
      <w:r w:rsidRPr="00EC20F8">
        <w:rPr>
          <w:rFonts w:ascii="Times New Roman" w:eastAsia="Calibri" w:hAnsi="Times New Roman" w:cs="Times New Roman"/>
          <w:sz w:val="28"/>
          <w:szCs w:val="28"/>
        </w:rPr>
        <w:t xml:space="preserve"> комплекса;</w:t>
      </w:r>
    </w:p>
    <w:p w:rsidR="00905D0F" w:rsidRPr="00EC20F8" w:rsidRDefault="00905D0F" w:rsidP="00905D0F">
      <w:pPr>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многофункциональный грузовой терминал для обработки грузов предназначенных для внутреннего потребления края;</w:t>
      </w:r>
    </w:p>
    <w:p w:rsidR="00905D0F" w:rsidRPr="00EC20F8" w:rsidRDefault="00905D0F" w:rsidP="00905D0F">
      <w:pPr>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судоремонтный комплекс;</w:t>
      </w:r>
    </w:p>
    <w:p w:rsidR="00905D0F" w:rsidRPr="00EC20F8" w:rsidRDefault="00905D0F" w:rsidP="00905D0F">
      <w:pPr>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xml:space="preserve">- база хранения и снабжения флота материально-техническими средствами. </w:t>
      </w:r>
    </w:p>
    <w:p w:rsidR="00905D0F" w:rsidRPr="00EC20F8" w:rsidRDefault="00905D0F" w:rsidP="00905D0F">
      <w:pPr>
        <w:autoSpaceDE w:val="0"/>
        <w:autoSpaceDN w:val="0"/>
        <w:adjustRightInd w:val="0"/>
        <w:ind w:firstLine="720"/>
        <w:rPr>
          <w:rFonts w:ascii="Times New Roman" w:eastAsia="Calibri" w:hAnsi="Times New Roman" w:cs="Times New Roman"/>
          <w:sz w:val="28"/>
          <w:szCs w:val="28"/>
        </w:rPr>
      </w:pPr>
      <w:r w:rsidRPr="00EC20F8">
        <w:rPr>
          <w:rFonts w:ascii="Times New Roman" w:eastAsia="Calibri" w:hAnsi="Times New Roman" w:cs="Times New Roman"/>
          <w:sz w:val="28"/>
          <w:szCs w:val="28"/>
        </w:rPr>
        <w:t>В 2014-2017 годах бюджетные инвестиции планируется направить на развитие сферы градостроительства, социальной сферы, ЖКХ, жилищное строительство и др.</w:t>
      </w:r>
    </w:p>
    <w:p w:rsidR="00905D0F" w:rsidRPr="00EC20F8" w:rsidRDefault="00905D0F" w:rsidP="00905D0F">
      <w:pPr>
        <w:autoSpaceDE w:val="0"/>
        <w:autoSpaceDN w:val="0"/>
        <w:adjustRightInd w:val="0"/>
        <w:ind w:firstLine="720"/>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xml:space="preserve">Необходима актуализация генерального плана </w:t>
      </w:r>
      <w:proofErr w:type="gramStart"/>
      <w:r w:rsidRPr="00EC20F8">
        <w:rPr>
          <w:rFonts w:ascii="Times New Roman" w:eastAsia="Calibri" w:hAnsi="Times New Roman" w:cs="Times New Roman"/>
          <w:sz w:val="28"/>
          <w:szCs w:val="28"/>
        </w:rPr>
        <w:t>Петропавловск-Камчатского</w:t>
      </w:r>
      <w:proofErr w:type="gramEnd"/>
      <w:r w:rsidRPr="00EC20F8">
        <w:rPr>
          <w:rFonts w:ascii="Times New Roman" w:eastAsia="Calibri" w:hAnsi="Times New Roman" w:cs="Times New Roman"/>
          <w:sz w:val="28"/>
          <w:szCs w:val="28"/>
        </w:rPr>
        <w:t xml:space="preserve"> городского округа  в том числе:</w:t>
      </w:r>
    </w:p>
    <w:p w:rsidR="00905D0F" w:rsidRPr="00EC20F8" w:rsidRDefault="00905D0F" w:rsidP="00905D0F">
      <w:pPr>
        <w:autoSpaceDE w:val="0"/>
        <w:autoSpaceDN w:val="0"/>
        <w:adjustRightInd w:val="0"/>
        <w:ind w:firstLine="720"/>
        <w:jc w:val="both"/>
        <w:rPr>
          <w:rFonts w:ascii="Times New Roman" w:hAnsi="Times New Roman" w:cs="Times New Roman"/>
          <w:sz w:val="28"/>
          <w:szCs w:val="28"/>
        </w:rPr>
      </w:pPr>
      <w:r w:rsidRPr="00EC20F8">
        <w:rPr>
          <w:rFonts w:ascii="Times New Roman" w:eastAsia="Calibri" w:hAnsi="Times New Roman" w:cs="Times New Roman"/>
          <w:sz w:val="28"/>
          <w:szCs w:val="28"/>
        </w:rPr>
        <w:t>- создание информационной системы градос</w:t>
      </w:r>
      <w:r w:rsidR="005845F7" w:rsidRPr="00EC20F8">
        <w:rPr>
          <w:rFonts w:ascii="Times New Roman" w:eastAsia="Calibri" w:hAnsi="Times New Roman" w:cs="Times New Roman"/>
          <w:sz w:val="28"/>
          <w:szCs w:val="28"/>
        </w:rPr>
        <w:t xml:space="preserve">троительной деятельности (далее - </w:t>
      </w:r>
      <w:r w:rsidRPr="00EC20F8">
        <w:rPr>
          <w:rFonts w:ascii="Times New Roman" w:eastAsia="Calibri" w:hAnsi="Times New Roman" w:cs="Times New Roman"/>
          <w:sz w:val="28"/>
          <w:szCs w:val="28"/>
        </w:rPr>
        <w:t xml:space="preserve">ИСГД), </w:t>
      </w:r>
      <w:r w:rsidRPr="00EC20F8">
        <w:rPr>
          <w:sz w:val="28"/>
          <w:szCs w:val="28"/>
        </w:rPr>
        <w:t xml:space="preserve"> </w:t>
      </w:r>
      <w:r w:rsidRPr="00EC20F8">
        <w:rPr>
          <w:rFonts w:ascii="Times New Roman" w:hAnsi="Times New Roman" w:cs="Times New Roman"/>
          <w:sz w:val="28"/>
          <w:szCs w:val="28"/>
        </w:rPr>
        <w:t>разработка плана информационного сопровождения инвестиционных проектов (консалтинговые услуги, аналитическое сопровождение, создание электронных баз данных, информационные ресурсы в сети Интернет);</w:t>
      </w:r>
    </w:p>
    <w:p w:rsidR="00905D0F" w:rsidRPr="00EC20F8" w:rsidRDefault="00905D0F" w:rsidP="00905D0F">
      <w:pPr>
        <w:autoSpaceDE w:val="0"/>
        <w:autoSpaceDN w:val="0"/>
        <w:adjustRightInd w:val="0"/>
        <w:ind w:firstLine="720"/>
        <w:jc w:val="both"/>
        <w:rPr>
          <w:rFonts w:ascii="Times New Roman" w:hAnsi="Times New Roman" w:cs="Times New Roman"/>
          <w:sz w:val="28"/>
          <w:szCs w:val="28"/>
        </w:rPr>
      </w:pPr>
      <w:r w:rsidRPr="00EC20F8">
        <w:rPr>
          <w:rFonts w:ascii="Times New Roman" w:hAnsi="Times New Roman" w:cs="Times New Roman"/>
          <w:sz w:val="28"/>
          <w:szCs w:val="28"/>
        </w:rPr>
        <w:t>- подготовка проекта и утверждение городской черты с учетом развития городского округа;</w:t>
      </w:r>
    </w:p>
    <w:p w:rsidR="00905D0F" w:rsidRPr="00EC20F8" w:rsidRDefault="00905D0F" w:rsidP="00905D0F">
      <w:pPr>
        <w:autoSpaceDE w:val="0"/>
        <w:autoSpaceDN w:val="0"/>
        <w:adjustRightInd w:val="0"/>
        <w:ind w:firstLine="720"/>
        <w:jc w:val="both"/>
        <w:rPr>
          <w:rFonts w:ascii="Times New Roman" w:hAnsi="Times New Roman" w:cs="Times New Roman"/>
          <w:sz w:val="28"/>
          <w:szCs w:val="28"/>
        </w:rPr>
      </w:pPr>
      <w:r w:rsidRPr="00EC20F8">
        <w:rPr>
          <w:rFonts w:ascii="Times New Roman" w:hAnsi="Times New Roman" w:cs="Times New Roman"/>
          <w:sz w:val="28"/>
          <w:szCs w:val="28"/>
        </w:rPr>
        <w:t>- подготовка и утверждение генеральных схем раз</w:t>
      </w:r>
      <w:r w:rsidR="005845F7" w:rsidRPr="00EC20F8">
        <w:rPr>
          <w:rFonts w:ascii="Times New Roman" w:hAnsi="Times New Roman" w:cs="Times New Roman"/>
          <w:sz w:val="28"/>
          <w:szCs w:val="28"/>
        </w:rPr>
        <w:t>вития инженерной инфраструктуры</w:t>
      </w:r>
      <w:r w:rsidRPr="00EC20F8">
        <w:rPr>
          <w:rFonts w:ascii="Times New Roman" w:hAnsi="Times New Roman" w:cs="Times New Roman"/>
          <w:sz w:val="28"/>
          <w:szCs w:val="28"/>
        </w:rPr>
        <w:t>.</w:t>
      </w:r>
    </w:p>
    <w:p w:rsidR="00905D0F" w:rsidRPr="00EC20F8" w:rsidRDefault="00905D0F" w:rsidP="00905D0F">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В 2014 году будет завершено строительство дошкольного образовательного учреждения  в микрорайоне </w:t>
      </w:r>
      <w:proofErr w:type="gramStart"/>
      <w:r w:rsidRPr="00EC20F8">
        <w:rPr>
          <w:rFonts w:ascii="Times New Roman" w:hAnsi="Times New Roman" w:cs="Times New Roman"/>
          <w:sz w:val="28"/>
          <w:szCs w:val="28"/>
        </w:rPr>
        <w:t>А</w:t>
      </w:r>
      <w:proofErr w:type="gramEnd"/>
      <w:r w:rsidRPr="00EC20F8">
        <w:rPr>
          <w:rFonts w:ascii="Times New Roman" w:hAnsi="Times New Roman" w:cs="Times New Roman"/>
          <w:sz w:val="28"/>
          <w:szCs w:val="28"/>
        </w:rPr>
        <w:t xml:space="preserve">-II Северо-восточной части города  Петропавловска-Камчатского на 220 мест, а также построены в 2016 году дошкольные образовательные учреждения  по ул. Савченко  на 260 мест  и по ул. Арсеньева на 180 мест, в 2017 году дошкольное образовательное учреждение по ул. Дальневосточной на 260 мест; в 2015 году завершится строительство здания городской поликлиники с реабилитационным центром по ул. </w:t>
      </w:r>
      <w:proofErr w:type="gramStart"/>
      <w:r w:rsidRPr="00EC20F8">
        <w:rPr>
          <w:rFonts w:ascii="Times New Roman" w:hAnsi="Times New Roman" w:cs="Times New Roman"/>
          <w:sz w:val="28"/>
          <w:szCs w:val="28"/>
        </w:rPr>
        <w:t>Индустриальная</w:t>
      </w:r>
      <w:proofErr w:type="gramEnd"/>
      <w:r w:rsidRPr="00EC20F8">
        <w:rPr>
          <w:rFonts w:ascii="Times New Roman" w:hAnsi="Times New Roman" w:cs="Times New Roman"/>
          <w:sz w:val="28"/>
          <w:szCs w:val="28"/>
        </w:rPr>
        <w:t xml:space="preserve">. </w:t>
      </w:r>
    </w:p>
    <w:p w:rsidR="00905D0F" w:rsidRPr="00EC20F8" w:rsidRDefault="00905D0F" w:rsidP="00905D0F">
      <w:pPr>
        <w:spacing w:line="240" w:lineRule="auto"/>
        <w:ind w:firstLine="709"/>
        <w:jc w:val="both"/>
      </w:pPr>
      <w:r w:rsidRPr="00EC20F8">
        <w:rPr>
          <w:rFonts w:ascii="Times New Roman" w:eastAsia="Calibri" w:hAnsi="Times New Roman" w:cs="Times New Roman"/>
          <w:sz w:val="28"/>
          <w:szCs w:val="28"/>
        </w:rPr>
        <w:t xml:space="preserve">Для создания </w:t>
      </w:r>
      <w:proofErr w:type="gramStart"/>
      <w:r w:rsidRPr="00EC20F8">
        <w:rPr>
          <w:rFonts w:ascii="Times New Roman" w:eastAsia="Calibri" w:hAnsi="Times New Roman" w:cs="Times New Roman"/>
          <w:sz w:val="28"/>
          <w:szCs w:val="28"/>
        </w:rPr>
        <w:t>условий развития сферы культуры</w:t>
      </w:r>
      <w:proofErr w:type="gramEnd"/>
      <w:r w:rsidRPr="00EC20F8">
        <w:rPr>
          <w:rFonts w:ascii="Times New Roman" w:eastAsia="Calibri" w:hAnsi="Times New Roman" w:cs="Times New Roman"/>
          <w:sz w:val="28"/>
          <w:szCs w:val="28"/>
        </w:rPr>
        <w:t xml:space="preserve"> планируется в 2014 – 2017 годах провести государственную экспертизу проектной документации  и реконструкцию здания МАУК «Городской дом культуры «СРВ».</w:t>
      </w:r>
    </w:p>
    <w:p w:rsidR="00905D0F" w:rsidRPr="00EC20F8" w:rsidRDefault="00905D0F" w:rsidP="00905D0F">
      <w:pPr>
        <w:spacing w:line="240" w:lineRule="auto"/>
        <w:ind w:firstLine="709"/>
        <w:jc w:val="both"/>
        <w:rPr>
          <w:rFonts w:ascii="Times New Roman" w:eastAsia="Calibri" w:hAnsi="Times New Roman" w:cs="Times New Roman"/>
          <w:sz w:val="28"/>
          <w:szCs w:val="28"/>
        </w:rPr>
      </w:pPr>
      <w:proofErr w:type="gramStart"/>
      <w:r w:rsidRPr="00EC20F8">
        <w:rPr>
          <w:rFonts w:ascii="Times New Roman" w:hAnsi="Times New Roman" w:cs="Times New Roman"/>
          <w:sz w:val="28"/>
          <w:szCs w:val="28"/>
        </w:rPr>
        <w:t xml:space="preserve">В прогнозном периоде </w:t>
      </w:r>
      <w:r w:rsidRPr="00EC20F8">
        <w:rPr>
          <w:rFonts w:ascii="Times New Roman" w:eastAsia="Calibri" w:hAnsi="Times New Roman" w:cs="Times New Roman"/>
          <w:sz w:val="28"/>
          <w:szCs w:val="28"/>
        </w:rPr>
        <w:t>планируется осуществление капитальных вложений в объекты нежилого фонда городского округа, будут произведены работы  по: строительству автовокзала; реконструкции здания прачечной</w:t>
      </w:r>
      <w:r w:rsidRPr="00EC20F8">
        <w:t xml:space="preserve"> </w:t>
      </w:r>
      <w:r w:rsidRPr="00EC20F8">
        <w:rPr>
          <w:rFonts w:ascii="Times New Roman" w:eastAsia="Calibri" w:hAnsi="Times New Roman" w:cs="Times New Roman"/>
          <w:sz w:val="28"/>
          <w:szCs w:val="28"/>
        </w:rPr>
        <w:t xml:space="preserve">со строительством банно-прачечного комбината по проспекту Циолковского, 9; реконструкции здания туалетов по ул. </w:t>
      </w:r>
      <w:proofErr w:type="spellStart"/>
      <w:r w:rsidRPr="00EC20F8">
        <w:rPr>
          <w:rFonts w:ascii="Times New Roman" w:eastAsia="Calibri" w:hAnsi="Times New Roman" w:cs="Times New Roman"/>
          <w:sz w:val="28"/>
          <w:szCs w:val="28"/>
        </w:rPr>
        <w:t>Красинцева</w:t>
      </w:r>
      <w:proofErr w:type="spellEnd"/>
      <w:r w:rsidRPr="00EC20F8">
        <w:rPr>
          <w:rFonts w:ascii="Times New Roman" w:eastAsia="Calibri" w:hAnsi="Times New Roman" w:cs="Times New Roman"/>
          <w:sz w:val="28"/>
          <w:szCs w:val="28"/>
        </w:rPr>
        <w:t xml:space="preserve"> и административно-производственного корпуса на территории МУП «</w:t>
      </w:r>
      <w:proofErr w:type="spellStart"/>
      <w:r w:rsidRPr="00EC20F8">
        <w:rPr>
          <w:rFonts w:ascii="Times New Roman" w:eastAsia="Calibri" w:hAnsi="Times New Roman" w:cs="Times New Roman"/>
          <w:sz w:val="28"/>
          <w:szCs w:val="28"/>
        </w:rPr>
        <w:t>Спецдорремстрой</w:t>
      </w:r>
      <w:proofErr w:type="spellEnd"/>
      <w:r w:rsidRPr="00EC20F8">
        <w:rPr>
          <w:rFonts w:ascii="Times New Roman" w:eastAsia="Calibri" w:hAnsi="Times New Roman" w:cs="Times New Roman"/>
          <w:sz w:val="28"/>
          <w:szCs w:val="28"/>
        </w:rPr>
        <w:t>»; техническому перевооружению асфальтобетонного завода МУП «</w:t>
      </w:r>
      <w:proofErr w:type="spellStart"/>
      <w:r w:rsidRPr="00EC20F8">
        <w:rPr>
          <w:rFonts w:ascii="Times New Roman" w:eastAsia="Calibri" w:hAnsi="Times New Roman" w:cs="Times New Roman"/>
          <w:sz w:val="28"/>
          <w:szCs w:val="28"/>
        </w:rPr>
        <w:t>Спецдорремстрой</w:t>
      </w:r>
      <w:proofErr w:type="spellEnd"/>
      <w:r w:rsidRPr="00EC20F8">
        <w:rPr>
          <w:rFonts w:ascii="Times New Roman" w:eastAsia="Calibri" w:hAnsi="Times New Roman" w:cs="Times New Roman"/>
          <w:sz w:val="28"/>
          <w:szCs w:val="28"/>
        </w:rPr>
        <w:t>» по ул. Восточное шоссе;</w:t>
      </w:r>
      <w:proofErr w:type="gramEnd"/>
      <w:r w:rsidRPr="00EC20F8">
        <w:rPr>
          <w:rFonts w:ascii="Times New Roman" w:eastAsia="Calibri" w:hAnsi="Times New Roman" w:cs="Times New Roman"/>
          <w:sz w:val="28"/>
          <w:szCs w:val="28"/>
        </w:rPr>
        <w:t xml:space="preserve"> строительству тепличного комплекса МУП «</w:t>
      </w:r>
      <w:proofErr w:type="spellStart"/>
      <w:r w:rsidRPr="00EC20F8">
        <w:rPr>
          <w:rFonts w:ascii="Times New Roman" w:eastAsia="Calibri" w:hAnsi="Times New Roman" w:cs="Times New Roman"/>
          <w:sz w:val="28"/>
          <w:szCs w:val="28"/>
        </w:rPr>
        <w:t>Спецдорремстрой</w:t>
      </w:r>
      <w:proofErr w:type="spellEnd"/>
      <w:r w:rsidRPr="00EC20F8">
        <w:rPr>
          <w:rFonts w:ascii="Times New Roman" w:eastAsia="Calibri" w:hAnsi="Times New Roman" w:cs="Times New Roman"/>
          <w:sz w:val="28"/>
          <w:szCs w:val="28"/>
        </w:rPr>
        <w:t>» по Восточному шоссе и Комплекса по переработке твердых бытовых отходов.</w:t>
      </w:r>
    </w:p>
    <w:p w:rsidR="00905D0F" w:rsidRPr="00EC20F8" w:rsidRDefault="00905D0F" w:rsidP="00905D0F">
      <w:pPr>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В планируемом периоде в рамках муниципальной программы «Обеспечение доступным и комфортным жильем жителей городского округа» бюджетные инвестиции планируется направить:</w:t>
      </w:r>
    </w:p>
    <w:p w:rsidR="00905D0F" w:rsidRPr="00EC20F8" w:rsidRDefault="00905D0F" w:rsidP="00905D0F">
      <w:pPr>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xml:space="preserve">- на </w:t>
      </w:r>
      <w:proofErr w:type="spellStart"/>
      <w:r w:rsidRPr="00EC20F8">
        <w:rPr>
          <w:rFonts w:ascii="Times New Roman" w:eastAsia="Calibri" w:hAnsi="Times New Roman" w:cs="Times New Roman"/>
          <w:sz w:val="28"/>
          <w:szCs w:val="28"/>
        </w:rPr>
        <w:t>сейсмоукрепление</w:t>
      </w:r>
      <w:proofErr w:type="spellEnd"/>
      <w:r w:rsidRPr="00EC20F8">
        <w:rPr>
          <w:rFonts w:ascii="Times New Roman" w:eastAsia="Calibri" w:hAnsi="Times New Roman" w:cs="Times New Roman"/>
          <w:sz w:val="28"/>
          <w:szCs w:val="28"/>
        </w:rPr>
        <w:t xml:space="preserve"> здания школы №3 по улице Зеленая роща, 24; средней школы №8 по улице Давыдова; МБДОУ  «Средняя школа №33» (филиал №2) по проспекту Рыбаков, 28; здания МБДОУ «Детский сад №20» по улице </w:t>
      </w:r>
      <w:proofErr w:type="spellStart"/>
      <w:r w:rsidRPr="00EC20F8">
        <w:rPr>
          <w:rFonts w:ascii="Times New Roman" w:eastAsia="Calibri" w:hAnsi="Times New Roman" w:cs="Times New Roman"/>
          <w:sz w:val="28"/>
          <w:szCs w:val="28"/>
        </w:rPr>
        <w:t>Драбкина</w:t>
      </w:r>
      <w:proofErr w:type="spellEnd"/>
      <w:r w:rsidRPr="00EC20F8">
        <w:rPr>
          <w:rFonts w:ascii="Times New Roman" w:eastAsia="Calibri" w:hAnsi="Times New Roman" w:cs="Times New Roman"/>
          <w:sz w:val="28"/>
          <w:szCs w:val="28"/>
        </w:rPr>
        <w:t>, 7; здания МБДОУ «Детский сад № 51» по улице Павлова, 5;</w:t>
      </w:r>
    </w:p>
    <w:p w:rsidR="00905D0F" w:rsidRPr="00EC20F8" w:rsidRDefault="00905D0F" w:rsidP="00905D0F">
      <w:pPr>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xml:space="preserve">- строительство сейсмостойких жилых домов в районе улицы </w:t>
      </w:r>
      <w:proofErr w:type="spellStart"/>
      <w:r w:rsidRPr="00EC20F8">
        <w:rPr>
          <w:rFonts w:ascii="Times New Roman" w:eastAsia="Calibri" w:hAnsi="Times New Roman" w:cs="Times New Roman"/>
          <w:sz w:val="28"/>
          <w:szCs w:val="28"/>
        </w:rPr>
        <w:t>Карбышева</w:t>
      </w:r>
      <w:proofErr w:type="spellEnd"/>
      <w:r w:rsidRPr="00EC20F8">
        <w:rPr>
          <w:rFonts w:ascii="Times New Roman" w:eastAsia="Calibri" w:hAnsi="Times New Roman" w:cs="Times New Roman"/>
          <w:sz w:val="28"/>
          <w:szCs w:val="28"/>
        </w:rPr>
        <w:t xml:space="preserve"> и в районе улицы Дальневосточной;</w:t>
      </w:r>
    </w:p>
    <w:p w:rsidR="00905D0F" w:rsidRPr="00EC20F8" w:rsidRDefault="00905D0F" w:rsidP="00905D0F">
      <w:pPr>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xml:space="preserve">- обеспечение инженерной инфраструктурой (водоснабжение, </w:t>
      </w:r>
      <w:proofErr w:type="spellStart"/>
      <w:r w:rsidRPr="00EC20F8">
        <w:rPr>
          <w:rFonts w:ascii="Times New Roman" w:eastAsia="Calibri" w:hAnsi="Times New Roman" w:cs="Times New Roman"/>
          <w:sz w:val="28"/>
          <w:szCs w:val="28"/>
        </w:rPr>
        <w:t>водоотвдение</w:t>
      </w:r>
      <w:proofErr w:type="spellEnd"/>
      <w:r w:rsidRPr="00EC20F8">
        <w:rPr>
          <w:rFonts w:ascii="Times New Roman" w:eastAsia="Calibri" w:hAnsi="Times New Roman" w:cs="Times New Roman"/>
          <w:sz w:val="28"/>
          <w:szCs w:val="28"/>
        </w:rPr>
        <w:t xml:space="preserve">, электроснабжение, газоснабжение, теплоснабжение) для освоения новых территорий городского округа в целях  строительства жилья и </w:t>
      </w:r>
      <w:r w:rsidR="00883876" w:rsidRPr="00EC20F8">
        <w:rPr>
          <w:rFonts w:ascii="Times New Roman" w:eastAsia="Calibri" w:hAnsi="Times New Roman" w:cs="Times New Roman"/>
          <w:sz w:val="28"/>
          <w:szCs w:val="28"/>
        </w:rPr>
        <w:t>объектов социального назначения;</w:t>
      </w:r>
      <w:r w:rsidRPr="00EC20F8">
        <w:rPr>
          <w:rFonts w:ascii="Times New Roman" w:eastAsia="Calibri" w:hAnsi="Times New Roman" w:cs="Times New Roman"/>
          <w:sz w:val="28"/>
          <w:szCs w:val="28"/>
        </w:rPr>
        <w:t xml:space="preserve"> </w:t>
      </w:r>
    </w:p>
    <w:p w:rsidR="00905D0F" w:rsidRPr="00EC20F8" w:rsidRDefault="00905D0F" w:rsidP="00905D0F">
      <w:pPr>
        <w:spacing w:line="240" w:lineRule="auto"/>
        <w:ind w:firstLine="709"/>
        <w:jc w:val="both"/>
        <w:rPr>
          <w:rFonts w:ascii="Times New Roman" w:eastAsia="Calibri" w:hAnsi="Times New Roman" w:cs="Times New Roman"/>
          <w:sz w:val="28"/>
          <w:szCs w:val="28"/>
        </w:rPr>
      </w:pPr>
      <w:proofErr w:type="gramStart"/>
      <w:r w:rsidRPr="00EC20F8">
        <w:rPr>
          <w:rFonts w:ascii="Times New Roman" w:eastAsia="Calibri" w:hAnsi="Times New Roman" w:cs="Times New Roman"/>
          <w:sz w:val="28"/>
          <w:szCs w:val="28"/>
        </w:rPr>
        <w:t>- формирование специализированного жилищного фонда для детей-сирот и детей, оставшихся без попечения родителей, лиц из числа детей-сирот и детей, ост</w:t>
      </w:r>
      <w:r w:rsidR="001F0460" w:rsidRPr="00EC20F8">
        <w:rPr>
          <w:rFonts w:ascii="Times New Roman" w:eastAsia="Calibri" w:hAnsi="Times New Roman" w:cs="Times New Roman"/>
          <w:sz w:val="28"/>
          <w:szCs w:val="28"/>
        </w:rPr>
        <w:t>авшихся без попечения родителей</w:t>
      </w:r>
      <w:r w:rsidRPr="00EC20F8">
        <w:rPr>
          <w:rFonts w:ascii="Times New Roman" w:eastAsia="Calibri" w:hAnsi="Times New Roman" w:cs="Times New Roman"/>
          <w:sz w:val="28"/>
          <w:szCs w:val="28"/>
        </w:rPr>
        <w:t xml:space="preserve"> (</w:t>
      </w:r>
      <w:r w:rsidR="001F0460" w:rsidRPr="00EC20F8">
        <w:rPr>
          <w:rFonts w:ascii="Times New Roman" w:eastAsia="Calibri" w:hAnsi="Times New Roman" w:cs="Times New Roman"/>
          <w:sz w:val="28"/>
          <w:szCs w:val="28"/>
        </w:rPr>
        <w:t xml:space="preserve">путем закупки квартир на первичном </w:t>
      </w:r>
      <w:r w:rsidR="00883876" w:rsidRPr="00EC20F8">
        <w:rPr>
          <w:rFonts w:ascii="Times New Roman" w:eastAsia="Calibri" w:hAnsi="Times New Roman" w:cs="Times New Roman"/>
          <w:sz w:val="28"/>
          <w:szCs w:val="28"/>
        </w:rPr>
        <w:t>и вторичном рынке жилья</w:t>
      </w:r>
      <w:r w:rsidRPr="00EC20F8">
        <w:rPr>
          <w:rFonts w:ascii="Times New Roman" w:eastAsia="Calibri" w:hAnsi="Times New Roman" w:cs="Times New Roman"/>
          <w:sz w:val="28"/>
          <w:szCs w:val="28"/>
        </w:rPr>
        <w:t>)</w:t>
      </w:r>
      <w:r w:rsidR="00883876" w:rsidRPr="00EC20F8">
        <w:rPr>
          <w:rFonts w:ascii="Times New Roman" w:eastAsia="Calibri" w:hAnsi="Times New Roman" w:cs="Times New Roman"/>
          <w:sz w:val="28"/>
          <w:szCs w:val="28"/>
        </w:rPr>
        <w:t>.</w:t>
      </w:r>
      <w:proofErr w:type="gramEnd"/>
    </w:p>
    <w:p w:rsidR="00905D0F" w:rsidRPr="00EC20F8" w:rsidRDefault="00905D0F" w:rsidP="00905D0F">
      <w:pPr>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В сфере развития транспортной системы городского округа  приоритетным вложением бюджетных инвестиций в прогнозном периоде останутся модернизация и строительство автомобильных дорог общего пользования местного значения, так же в 2014 – 2015 годах планируется строительство площадки для отстоя пассажирского транспорта по проспекту Победы и стелы (въездного знака). </w:t>
      </w:r>
      <w:proofErr w:type="gramEnd"/>
    </w:p>
    <w:p w:rsidR="00905D0F" w:rsidRPr="00EC20F8" w:rsidRDefault="00905D0F" w:rsidP="00905D0F">
      <w:pPr>
        <w:pStyle w:val="27"/>
        <w:shd w:val="clear" w:color="auto" w:fill="auto"/>
        <w:spacing w:line="240" w:lineRule="auto"/>
        <w:ind w:firstLine="708"/>
        <w:rPr>
          <w:sz w:val="28"/>
          <w:szCs w:val="28"/>
        </w:rPr>
      </w:pPr>
      <w:r w:rsidRPr="00EC20F8">
        <w:rPr>
          <w:sz w:val="28"/>
          <w:szCs w:val="28"/>
        </w:rPr>
        <w:t xml:space="preserve">В сфере жилищно-коммунального комплекса и инженерной инфраструктуры планируется: </w:t>
      </w:r>
    </w:p>
    <w:p w:rsidR="00905D0F" w:rsidRPr="00EC20F8" w:rsidRDefault="00905D0F" w:rsidP="00905D0F">
      <w:pPr>
        <w:pStyle w:val="27"/>
        <w:shd w:val="clear" w:color="auto" w:fill="auto"/>
        <w:spacing w:line="240" w:lineRule="auto"/>
        <w:ind w:firstLine="708"/>
        <w:rPr>
          <w:sz w:val="28"/>
          <w:szCs w:val="28"/>
        </w:rPr>
      </w:pPr>
      <w:r w:rsidRPr="00EC20F8">
        <w:rPr>
          <w:sz w:val="28"/>
          <w:szCs w:val="28"/>
        </w:rPr>
        <w:t xml:space="preserve">- строительство модульных газовых котельных и перевод действующих на газовое топливо (котельная № 5, 6, 18, 42, 56), что позволит снизить рост тарифов на тепловую энергию; </w:t>
      </w:r>
    </w:p>
    <w:p w:rsidR="00905D0F" w:rsidRPr="00EC20F8" w:rsidRDefault="00905D0F" w:rsidP="00905D0F">
      <w:pPr>
        <w:pStyle w:val="27"/>
        <w:shd w:val="clear" w:color="auto" w:fill="auto"/>
        <w:spacing w:line="240" w:lineRule="auto"/>
        <w:ind w:firstLine="708"/>
        <w:rPr>
          <w:sz w:val="28"/>
          <w:szCs w:val="28"/>
        </w:rPr>
      </w:pPr>
      <w:r w:rsidRPr="00EC20F8">
        <w:rPr>
          <w:sz w:val="28"/>
          <w:szCs w:val="28"/>
        </w:rPr>
        <w:t>- оптимизация системы теплоснабжения в общей схеме теплоснабжения городского округа (будет произведена за счет реализации мероприятий по закрытию котельных и ЦТП работающих на мазуте, что позволит сократить протяженность тепловых сетей 1-го и 2-го контура);</w:t>
      </w:r>
    </w:p>
    <w:p w:rsidR="00905D0F" w:rsidRPr="00EC20F8" w:rsidRDefault="00905D0F" w:rsidP="00905D0F">
      <w:pPr>
        <w:pStyle w:val="27"/>
        <w:shd w:val="clear" w:color="auto" w:fill="auto"/>
        <w:spacing w:line="240" w:lineRule="auto"/>
        <w:ind w:firstLine="708"/>
        <w:rPr>
          <w:sz w:val="28"/>
          <w:szCs w:val="28"/>
        </w:rPr>
      </w:pPr>
      <w:r w:rsidRPr="00EC20F8">
        <w:rPr>
          <w:sz w:val="28"/>
          <w:szCs w:val="28"/>
        </w:rPr>
        <w:t xml:space="preserve">- продолжить работу по переводу многоквартирных домов на централизованное горячее водоснабжение, что улучшит подачу ресурсов населению в круглогодичном режиме; </w:t>
      </w:r>
    </w:p>
    <w:p w:rsidR="00905D0F" w:rsidRPr="00EC20F8" w:rsidRDefault="00905D0F" w:rsidP="00905D0F">
      <w:pPr>
        <w:pStyle w:val="27"/>
        <w:shd w:val="clear" w:color="auto" w:fill="auto"/>
        <w:spacing w:line="240" w:lineRule="auto"/>
        <w:ind w:firstLine="708"/>
        <w:rPr>
          <w:sz w:val="28"/>
          <w:szCs w:val="28"/>
        </w:rPr>
      </w:pPr>
      <w:r w:rsidRPr="00EC20F8">
        <w:rPr>
          <w:sz w:val="28"/>
          <w:szCs w:val="28"/>
        </w:rPr>
        <w:t>- реконструкция резервуаров чистой воды «Высотная», «</w:t>
      </w:r>
      <w:proofErr w:type="spellStart"/>
      <w:r w:rsidRPr="00EC20F8">
        <w:rPr>
          <w:sz w:val="28"/>
          <w:szCs w:val="28"/>
        </w:rPr>
        <w:t>Богородское</w:t>
      </w:r>
      <w:proofErr w:type="spellEnd"/>
      <w:r w:rsidRPr="00EC20F8">
        <w:rPr>
          <w:sz w:val="28"/>
          <w:szCs w:val="28"/>
        </w:rPr>
        <w:t xml:space="preserve"> озеро»;</w:t>
      </w:r>
    </w:p>
    <w:p w:rsidR="00905D0F" w:rsidRPr="00EC20F8" w:rsidRDefault="00905D0F" w:rsidP="00905D0F">
      <w:pPr>
        <w:pStyle w:val="27"/>
        <w:shd w:val="clear" w:color="auto" w:fill="auto"/>
        <w:spacing w:line="240" w:lineRule="auto"/>
        <w:ind w:firstLine="708"/>
        <w:rPr>
          <w:sz w:val="28"/>
          <w:szCs w:val="28"/>
        </w:rPr>
      </w:pPr>
      <w:proofErr w:type="gramStart"/>
      <w:r w:rsidRPr="00EC20F8">
        <w:rPr>
          <w:sz w:val="28"/>
          <w:szCs w:val="28"/>
        </w:rPr>
        <w:t>- реконструкция и строительство сетей водоснабжения юго-восточной и центральной частей города, реконструкция распределительных сетей водоснабжения в центральной и северо-западной частях города; реконструкция системы водоотведения в центральной части и северо-восточной части (район «Моховая»);</w:t>
      </w:r>
      <w:proofErr w:type="gramEnd"/>
    </w:p>
    <w:p w:rsidR="00905D0F" w:rsidRPr="00EC20F8" w:rsidRDefault="00905D0F" w:rsidP="00905D0F">
      <w:pPr>
        <w:pStyle w:val="27"/>
        <w:shd w:val="clear" w:color="auto" w:fill="auto"/>
        <w:spacing w:line="240" w:lineRule="auto"/>
        <w:ind w:firstLine="708"/>
        <w:rPr>
          <w:sz w:val="28"/>
          <w:szCs w:val="28"/>
        </w:rPr>
      </w:pPr>
      <w:r w:rsidRPr="00EC20F8">
        <w:rPr>
          <w:sz w:val="28"/>
          <w:szCs w:val="28"/>
        </w:rPr>
        <w:t>-</w:t>
      </w:r>
      <w:r w:rsidRPr="00EC20F8">
        <w:t xml:space="preserve"> </w:t>
      </w:r>
      <w:r w:rsidRPr="00EC20F8">
        <w:rPr>
          <w:sz w:val="28"/>
          <w:szCs w:val="28"/>
        </w:rPr>
        <w:t>реконструкция канализационных очистных сооружений «Чавыча»,  напорного канализационного коллектора Д700 с заменой оборудования КНС № 11 по улице Дальневосточной;</w:t>
      </w:r>
    </w:p>
    <w:p w:rsidR="00905D0F" w:rsidRPr="00EC20F8" w:rsidRDefault="00905D0F" w:rsidP="00905D0F">
      <w:pPr>
        <w:pStyle w:val="27"/>
        <w:shd w:val="clear" w:color="auto" w:fill="auto"/>
        <w:spacing w:line="240" w:lineRule="auto"/>
        <w:ind w:firstLine="708"/>
        <w:rPr>
          <w:sz w:val="28"/>
          <w:szCs w:val="28"/>
        </w:rPr>
      </w:pPr>
      <w:r w:rsidRPr="00EC20F8">
        <w:rPr>
          <w:sz w:val="28"/>
          <w:szCs w:val="28"/>
        </w:rPr>
        <w:t xml:space="preserve">- освоение Восточного участка </w:t>
      </w:r>
      <w:proofErr w:type="spellStart"/>
      <w:r w:rsidRPr="00EC20F8">
        <w:rPr>
          <w:sz w:val="28"/>
          <w:szCs w:val="28"/>
        </w:rPr>
        <w:t>Быстринского</w:t>
      </w:r>
      <w:proofErr w:type="spellEnd"/>
      <w:r w:rsidRPr="00EC20F8">
        <w:rPr>
          <w:sz w:val="28"/>
          <w:szCs w:val="28"/>
        </w:rPr>
        <w:t xml:space="preserve"> месторождения подземных питьевых вод, строительство магистрального водовода до </w:t>
      </w:r>
      <w:proofErr w:type="gramStart"/>
      <w:r w:rsidRPr="00EC20F8">
        <w:rPr>
          <w:sz w:val="28"/>
          <w:szCs w:val="28"/>
        </w:rPr>
        <w:t>г</w:t>
      </w:r>
      <w:proofErr w:type="gramEnd"/>
      <w:r w:rsidRPr="00EC20F8">
        <w:rPr>
          <w:sz w:val="28"/>
          <w:szCs w:val="28"/>
        </w:rPr>
        <w:t>. Петропавловска-Камчатского;</w:t>
      </w:r>
    </w:p>
    <w:p w:rsidR="00905D0F" w:rsidRPr="00EC20F8" w:rsidRDefault="00905D0F" w:rsidP="00905D0F">
      <w:pPr>
        <w:pStyle w:val="27"/>
        <w:shd w:val="clear" w:color="auto" w:fill="auto"/>
        <w:spacing w:line="240" w:lineRule="auto"/>
        <w:ind w:firstLine="708"/>
        <w:rPr>
          <w:sz w:val="28"/>
          <w:szCs w:val="28"/>
        </w:rPr>
      </w:pPr>
      <w:r w:rsidRPr="00EC20F8">
        <w:rPr>
          <w:sz w:val="28"/>
          <w:szCs w:val="28"/>
        </w:rPr>
        <w:t>-</w:t>
      </w:r>
      <w:r w:rsidRPr="00EC20F8">
        <w:t xml:space="preserve"> </w:t>
      </w:r>
      <w:r w:rsidRPr="00EC20F8">
        <w:rPr>
          <w:sz w:val="28"/>
          <w:szCs w:val="28"/>
        </w:rPr>
        <w:t xml:space="preserve">реконструкция водозабора 1 ручей </w:t>
      </w:r>
      <w:proofErr w:type="spellStart"/>
      <w:r w:rsidRPr="00EC20F8">
        <w:rPr>
          <w:sz w:val="28"/>
          <w:szCs w:val="28"/>
        </w:rPr>
        <w:t>Крутобереговый</w:t>
      </w:r>
      <w:proofErr w:type="spellEnd"/>
      <w:r w:rsidRPr="00EC20F8">
        <w:rPr>
          <w:sz w:val="28"/>
          <w:szCs w:val="28"/>
        </w:rPr>
        <w:t xml:space="preserve">, водоприемной насосной станции 1-го подъема 3-й ручей </w:t>
      </w:r>
      <w:proofErr w:type="spellStart"/>
      <w:r w:rsidRPr="00EC20F8">
        <w:rPr>
          <w:sz w:val="28"/>
          <w:szCs w:val="28"/>
        </w:rPr>
        <w:t>Крутобереговый</w:t>
      </w:r>
      <w:proofErr w:type="spellEnd"/>
      <w:r w:rsidRPr="00EC20F8">
        <w:rPr>
          <w:sz w:val="28"/>
          <w:szCs w:val="28"/>
        </w:rPr>
        <w:t>, горизонтального отстойника № 1 водопроводных очистных сооружений;</w:t>
      </w:r>
    </w:p>
    <w:p w:rsidR="00905D0F" w:rsidRPr="00EC20F8" w:rsidRDefault="00905D0F" w:rsidP="00905D0F">
      <w:pPr>
        <w:pStyle w:val="27"/>
        <w:shd w:val="clear" w:color="auto" w:fill="auto"/>
        <w:spacing w:line="240" w:lineRule="auto"/>
        <w:ind w:firstLine="708"/>
        <w:rPr>
          <w:sz w:val="28"/>
          <w:szCs w:val="28"/>
        </w:rPr>
      </w:pPr>
      <w:r w:rsidRPr="00EC20F8">
        <w:rPr>
          <w:sz w:val="28"/>
          <w:szCs w:val="28"/>
        </w:rPr>
        <w:t xml:space="preserve">- обустройство мест захоронения в восточной части </w:t>
      </w:r>
      <w:proofErr w:type="gramStart"/>
      <w:r w:rsidRPr="00EC20F8">
        <w:rPr>
          <w:sz w:val="28"/>
          <w:szCs w:val="28"/>
        </w:rPr>
        <w:t>г</w:t>
      </w:r>
      <w:proofErr w:type="gramEnd"/>
      <w:r w:rsidRPr="00EC20F8">
        <w:rPr>
          <w:sz w:val="28"/>
          <w:szCs w:val="28"/>
        </w:rPr>
        <w:t>. Петропавловска-Камчатского.</w:t>
      </w:r>
    </w:p>
    <w:p w:rsidR="00905D0F" w:rsidRPr="00EC20F8" w:rsidRDefault="00905D0F" w:rsidP="00905D0F">
      <w:pPr>
        <w:spacing w:line="240" w:lineRule="auto"/>
        <w:ind w:firstLine="709"/>
        <w:jc w:val="both"/>
        <w:rPr>
          <w:rFonts w:ascii="Times New Roman" w:eastAsia="Times New Roman" w:hAnsi="Times New Roman" w:cs="Times New Roman"/>
          <w:sz w:val="28"/>
          <w:szCs w:val="28"/>
          <w:lang w:eastAsia="ru-RU"/>
        </w:rPr>
      </w:pPr>
      <w:proofErr w:type="gramStart"/>
      <w:r w:rsidRPr="00EC20F8">
        <w:rPr>
          <w:rFonts w:ascii="Times New Roman" w:eastAsia="Times New Roman" w:hAnsi="Times New Roman" w:cs="Times New Roman"/>
          <w:sz w:val="28"/>
          <w:szCs w:val="28"/>
          <w:lang w:eastAsia="ru-RU"/>
        </w:rPr>
        <w:t xml:space="preserve">В рамках мероприятий комплексного благоустройства прогнозируется реализация мероприятий по восстановлению и ремонту улично-дорожной сети, по устройству и ремонту сетей наружного уличного освещения и других объектов благоустройства. </w:t>
      </w:r>
      <w:proofErr w:type="gramEnd"/>
    </w:p>
    <w:p w:rsidR="00905D0F" w:rsidRPr="00EC20F8" w:rsidRDefault="00905D0F" w:rsidP="00905D0F">
      <w:pPr>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В целях развития сферы физкультуры и спорта за счет сре</w:t>
      </w:r>
      <w:proofErr w:type="gramStart"/>
      <w:r w:rsidRPr="00EC20F8">
        <w:rPr>
          <w:rFonts w:ascii="Times New Roman" w:eastAsia="Calibri" w:hAnsi="Times New Roman" w:cs="Times New Roman"/>
          <w:sz w:val="28"/>
          <w:szCs w:val="28"/>
        </w:rPr>
        <w:t>дств кр</w:t>
      </w:r>
      <w:proofErr w:type="gramEnd"/>
      <w:r w:rsidRPr="00EC20F8">
        <w:rPr>
          <w:rFonts w:ascii="Times New Roman" w:eastAsia="Calibri" w:hAnsi="Times New Roman" w:cs="Times New Roman"/>
          <w:sz w:val="28"/>
          <w:szCs w:val="28"/>
        </w:rPr>
        <w:t>аевого бюджета:</w:t>
      </w:r>
    </w:p>
    <w:p w:rsidR="00905D0F" w:rsidRPr="00EC20F8" w:rsidRDefault="00905D0F" w:rsidP="00905D0F">
      <w:pPr>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xml:space="preserve">- в декабре 2013 года выполнены проектные работы по горнолыжному комплексу СДЮСШОР «Эдельвейс», включающие в себя строительство 4-х местной кресельной канатной дороги, искусственного </w:t>
      </w:r>
      <w:proofErr w:type="spellStart"/>
      <w:r w:rsidRPr="00EC20F8">
        <w:rPr>
          <w:rFonts w:ascii="Times New Roman" w:eastAsia="Calibri" w:hAnsi="Times New Roman" w:cs="Times New Roman"/>
          <w:sz w:val="28"/>
          <w:szCs w:val="28"/>
        </w:rPr>
        <w:t>оснежения</w:t>
      </w:r>
      <w:proofErr w:type="spellEnd"/>
      <w:r w:rsidRPr="00EC20F8">
        <w:rPr>
          <w:rFonts w:ascii="Times New Roman" w:eastAsia="Calibri" w:hAnsi="Times New Roman" w:cs="Times New Roman"/>
          <w:sz w:val="28"/>
          <w:szCs w:val="28"/>
        </w:rPr>
        <w:t xml:space="preserve">, электроосвещения, строительство двух бугельных канатных дорог декабрь 2014 – январь 2015 года; </w:t>
      </w:r>
    </w:p>
    <w:p w:rsidR="00905D0F" w:rsidRPr="00EC20F8" w:rsidRDefault="00905D0F" w:rsidP="00905D0F">
      <w:pPr>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xml:space="preserve">- в 2014 году планируется завершение работ по устройству </w:t>
      </w:r>
      <w:proofErr w:type="spellStart"/>
      <w:r w:rsidRPr="00EC20F8">
        <w:rPr>
          <w:rFonts w:ascii="Times New Roman" w:eastAsia="Calibri" w:hAnsi="Times New Roman" w:cs="Times New Roman"/>
          <w:sz w:val="28"/>
          <w:szCs w:val="28"/>
        </w:rPr>
        <w:t>лыжероллерной</w:t>
      </w:r>
      <w:proofErr w:type="spellEnd"/>
      <w:r w:rsidRPr="00EC20F8">
        <w:rPr>
          <w:rFonts w:ascii="Times New Roman" w:eastAsia="Calibri" w:hAnsi="Times New Roman" w:cs="Times New Roman"/>
          <w:sz w:val="28"/>
          <w:szCs w:val="28"/>
        </w:rPr>
        <w:t xml:space="preserve"> трассы с асфальтобетонным покрытием. Завершается разработка проекта по биатлонному стадиону</w:t>
      </w:r>
      <w:r w:rsidRPr="00EC20F8">
        <w:rPr>
          <w:rFonts w:ascii="Times New Roman" w:hAnsi="Times New Roman" w:cs="Times New Roman"/>
          <w:sz w:val="28"/>
          <w:szCs w:val="28"/>
        </w:rPr>
        <w:t xml:space="preserve"> по Северо-Восточному  шоссе</w:t>
      </w:r>
      <w:r w:rsidRPr="00EC20F8">
        <w:rPr>
          <w:rFonts w:ascii="Times New Roman" w:eastAsia="Calibri" w:hAnsi="Times New Roman" w:cs="Times New Roman"/>
          <w:sz w:val="28"/>
          <w:szCs w:val="28"/>
        </w:rPr>
        <w:t xml:space="preserve">, включающая в себя </w:t>
      </w:r>
      <w:proofErr w:type="spellStart"/>
      <w:r w:rsidRPr="00EC20F8">
        <w:rPr>
          <w:rFonts w:ascii="Times New Roman" w:eastAsia="Calibri" w:hAnsi="Times New Roman" w:cs="Times New Roman"/>
          <w:sz w:val="28"/>
          <w:szCs w:val="28"/>
        </w:rPr>
        <w:t>пуле-улавливающую</w:t>
      </w:r>
      <w:proofErr w:type="spellEnd"/>
      <w:r w:rsidRPr="00EC20F8">
        <w:rPr>
          <w:rFonts w:ascii="Times New Roman" w:eastAsia="Calibri" w:hAnsi="Times New Roman" w:cs="Times New Roman"/>
          <w:sz w:val="28"/>
          <w:szCs w:val="28"/>
        </w:rPr>
        <w:t xml:space="preserve"> стенку, отводы и дренаж воды, благоустройство территории; </w:t>
      </w:r>
    </w:p>
    <w:p w:rsidR="00905D0F" w:rsidRPr="00EC20F8" w:rsidRDefault="00905D0F" w:rsidP="00905D0F">
      <w:pPr>
        <w:spacing w:line="240" w:lineRule="auto"/>
        <w:ind w:firstLine="708"/>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xml:space="preserve">- проводится работа по созданию инфраструктуры для занятий сноубордом и фристайлом на горнолыжной базе микрорайона «Кирпичики», </w:t>
      </w:r>
    </w:p>
    <w:p w:rsidR="00905D0F" w:rsidRPr="00EC20F8" w:rsidRDefault="00905D0F" w:rsidP="00905D0F">
      <w:pPr>
        <w:spacing w:line="240" w:lineRule="auto"/>
        <w:ind w:firstLine="708"/>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идут проектные работы по модернизации стадиона «Спартак».</w:t>
      </w:r>
    </w:p>
    <w:p w:rsidR="00905D0F" w:rsidRPr="00EC20F8" w:rsidRDefault="00905D0F" w:rsidP="00905D0F">
      <w:pPr>
        <w:tabs>
          <w:tab w:val="left" w:pos="540"/>
        </w:tabs>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На 2014-2015 годы намечены  строительство и реконструкция объектов общественного и социального назначения за счет средств федерального и краевого бюджета:</w:t>
      </w:r>
    </w:p>
    <w:p w:rsidR="00905D0F" w:rsidRPr="00EC20F8" w:rsidRDefault="00905D0F" w:rsidP="00905D0F">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здание театра кукол по проспекту Циолковского;</w:t>
      </w:r>
    </w:p>
    <w:p w:rsidR="00905D0F" w:rsidRPr="00EC20F8" w:rsidRDefault="00905D0F" w:rsidP="00905D0F">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автоматизированный автодром для проведения первого этапа практического экзамена на получение управления транспортными средствами категории «В», «С», «Д»;</w:t>
      </w:r>
    </w:p>
    <w:p w:rsidR="00905D0F" w:rsidRPr="00EC20F8" w:rsidRDefault="00905D0F" w:rsidP="00905D0F">
      <w:pPr>
        <w:autoSpaceDE w:val="0"/>
        <w:autoSpaceDN w:val="0"/>
        <w:adjustRightInd w:val="0"/>
        <w:spacing w:line="240" w:lineRule="auto"/>
        <w:ind w:firstLine="708"/>
        <w:jc w:val="both"/>
        <w:rPr>
          <w:rFonts w:ascii="Times New Roman" w:hAnsi="Times New Roman" w:cs="Times New Roman"/>
          <w:sz w:val="28"/>
          <w:szCs w:val="28"/>
        </w:rPr>
      </w:pPr>
      <w:r w:rsidRPr="00EC20F8">
        <w:rPr>
          <w:rFonts w:ascii="Times New Roman" w:hAnsi="Times New Roman" w:cs="Times New Roman"/>
          <w:sz w:val="28"/>
          <w:szCs w:val="28"/>
        </w:rPr>
        <w:t>- здание Дворца бракосочетания по проспекту Циолковского (дата ввода объекта декабрь 2014 года);</w:t>
      </w:r>
    </w:p>
    <w:p w:rsidR="00905D0F" w:rsidRPr="00EC20F8" w:rsidRDefault="00905D0F" w:rsidP="00905D0F">
      <w:pPr>
        <w:autoSpaceDE w:val="0"/>
        <w:autoSpaceDN w:val="0"/>
        <w:adjustRightInd w:val="0"/>
        <w:spacing w:line="240" w:lineRule="auto"/>
        <w:ind w:firstLine="708"/>
        <w:jc w:val="both"/>
        <w:rPr>
          <w:rFonts w:ascii="Times New Roman" w:hAnsi="Times New Roman" w:cs="Times New Roman"/>
          <w:sz w:val="28"/>
          <w:szCs w:val="28"/>
        </w:rPr>
      </w:pPr>
      <w:r w:rsidRPr="00EC20F8">
        <w:rPr>
          <w:rFonts w:ascii="Times New Roman" w:hAnsi="Times New Roman" w:cs="Times New Roman"/>
          <w:sz w:val="28"/>
          <w:szCs w:val="28"/>
        </w:rPr>
        <w:t>- здание концертного комплекса.</w:t>
      </w:r>
    </w:p>
    <w:p w:rsidR="00905D0F" w:rsidRPr="00EC20F8" w:rsidRDefault="00905D0F" w:rsidP="00905D0F">
      <w:pPr>
        <w:spacing w:line="240" w:lineRule="auto"/>
        <w:ind w:firstLine="708"/>
        <w:jc w:val="both"/>
        <w:rPr>
          <w:rFonts w:ascii="Times New Roman" w:eastAsia="Calibri" w:hAnsi="Times New Roman" w:cs="Times New Roman"/>
          <w:sz w:val="28"/>
          <w:szCs w:val="28"/>
        </w:rPr>
      </w:pPr>
      <w:proofErr w:type="gramStart"/>
      <w:r w:rsidRPr="00EC20F8">
        <w:rPr>
          <w:rFonts w:ascii="Times New Roman" w:eastAsia="Calibri" w:hAnsi="Times New Roman" w:cs="Times New Roman"/>
          <w:sz w:val="28"/>
          <w:szCs w:val="28"/>
        </w:rPr>
        <w:t xml:space="preserve">Для инвестиционной деятельности </w:t>
      </w:r>
      <w:r w:rsidRPr="00EC20F8">
        <w:rPr>
          <w:rFonts w:ascii="Times New Roman" w:hAnsi="Times New Roman" w:cs="Times New Roman"/>
          <w:sz w:val="28"/>
          <w:szCs w:val="28"/>
        </w:rPr>
        <w:t>городского округа</w:t>
      </w:r>
      <w:r w:rsidRPr="00EC20F8">
        <w:rPr>
          <w:rFonts w:ascii="Times New Roman" w:eastAsia="Calibri" w:hAnsi="Times New Roman" w:cs="Times New Roman"/>
          <w:sz w:val="28"/>
          <w:szCs w:val="28"/>
        </w:rPr>
        <w:t xml:space="preserve"> в 2014 году и прогнозной динамики показателей объема инвестиций в основной капитал на среднесрочную перспективу характерны следующие основные тенденции, сложившиеся в предыдущие годы:</w:t>
      </w:r>
      <w:proofErr w:type="gramEnd"/>
    </w:p>
    <w:p w:rsidR="00905D0F" w:rsidRPr="00EC20F8" w:rsidRDefault="00905D0F" w:rsidP="00905D0F">
      <w:pPr>
        <w:tabs>
          <w:tab w:val="left" w:pos="1134"/>
        </w:tabs>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w:t>
      </w:r>
      <w:r w:rsidRPr="00EC20F8">
        <w:rPr>
          <w:rFonts w:ascii="Times New Roman" w:eastAsia="Calibri" w:hAnsi="Times New Roman" w:cs="Times New Roman"/>
          <w:sz w:val="28"/>
          <w:szCs w:val="28"/>
        </w:rPr>
        <w:tab/>
        <w:t>значительный объем инвестиций формируется крупными и средними предприятиями и организациями;</w:t>
      </w:r>
    </w:p>
    <w:p w:rsidR="00905D0F" w:rsidRPr="00EC20F8" w:rsidRDefault="00905D0F" w:rsidP="00905D0F">
      <w:pPr>
        <w:tabs>
          <w:tab w:val="left" w:pos="1134"/>
        </w:tabs>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w:t>
      </w:r>
      <w:r w:rsidRPr="00EC20F8">
        <w:rPr>
          <w:rFonts w:ascii="Times New Roman" w:eastAsia="Calibri" w:hAnsi="Times New Roman" w:cs="Times New Roman"/>
          <w:sz w:val="28"/>
          <w:szCs w:val="28"/>
        </w:rPr>
        <w:tab/>
        <w:t>основным источником финансирования объема инвестиций в основной капитал остаются привлеченные средства, в том числе почти половина – бюджетные средства (в 2013 году – 46,2 %).</w:t>
      </w:r>
    </w:p>
    <w:p w:rsidR="009A5AA2" w:rsidRPr="00EC20F8" w:rsidRDefault="009A5AA2" w:rsidP="00905D0F">
      <w:pPr>
        <w:tabs>
          <w:tab w:val="left" w:pos="1134"/>
        </w:tabs>
        <w:spacing w:line="240" w:lineRule="auto"/>
        <w:ind w:firstLine="709"/>
        <w:jc w:val="both"/>
        <w:rPr>
          <w:rFonts w:ascii="Times New Roman" w:eastAsia="Calibri" w:hAnsi="Times New Roman" w:cs="Times New Roman"/>
          <w:sz w:val="28"/>
          <w:szCs w:val="28"/>
        </w:rPr>
      </w:pPr>
    </w:p>
    <w:p w:rsidR="00905D0F" w:rsidRPr="00EC20F8" w:rsidRDefault="009A5AA2" w:rsidP="00F77E60">
      <w:pPr>
        <w:pStyle w:val="1"/>
      </w:pPr>
      <w:bookmarkStart w:id="43" w:name="_Toc400529663"/>
      <w:bookmarkStart w:id="44" w:name="_Toc335475351"/>
      <w:bookmarkStart w:id="45" w:name="_Toc335475591"/>
      <w:bookmarkStart w:id="46" w:name="_Toc337642429"/>
      <w:bookmarkStart w:id="47" w:name="_Toc368930199"/>
      <w:bookmarkStart w:id="48" w:name="_Toc368930823"/>
      <w:bookmarkStart w:id="49" w:name="_Toc368988880"/>
      <w:r w:rsidRPr="00EC20F8">
        <w:t>4.2.</w:t>
      </w:r>
      <w:r w:rsidR="00300682" w:rsidRPr="00EC20F8">
        <w:t>Инвестиционная политика</w:t>
      </w:r>
      <w:bookmarkEnd w:id="43"/>
    </w:p>
    <w:p w:rsidR="009A5AA2" w:rsidRPr="00EC20F8" w:rsidRDefault="009A5AA2" w:rsidP="00905D0F">
      <w:pPr>
        <w:autoSpaceDE w:val="0"/>
        <w:autoSpaceDN w:val="0"/>
        <w:adjustRightInd w:val="0"/>
        <w:spacing w:line="240" w:lineRule="auto"/>
        <w:jc w:val="center"/>
        <w:outlineLvl w:val="0"/>
        <w:rPr>
          <w:rFonts w:ascii="Times New Roman" w:hAnsi="Times New Roman" w:cs="Times New Roman"/>
          <w:sz w:val="28"/>
          <w:szCs w:val="28"/>
        </w:rPr>
      </w:pPr>
    </w:p>
    <w:p w:rsidR="009A5AA2" w:rsidRPr="00EC20F8" w:rsidRDefault="009A5AA2" w:rsidP="009A5AA2">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Перспективы развития городского округа определяются его инвестиционными возможностями. </w:t>
      </w:r>
      <w:proofErr w:type="gramStart"/>
      <w:r w:rsidRPr="00EC20F8">
        <w:rPr>
          <w:rFonts w:ascii="Times New Roman" w:hAnsi="Times New Roman" w:cs="Times New Roman"/>
          <w:sz w:val="28"/>
          <w:szCs w:val="28"/>
        </w:rPr>
        <w:t xml:space="preserve">Для стимулирования инвестиционной активности и повышения эффективности управления инвестиционными процессами, а также же в силу ограниченности финансовых, земельных и административных ресурсов, данная деятельность будет производиться в тесном взаимодействии с профильными ведомствами Камчатского края и институтами развития, созданными на территории Камчатского края для привлечения инвестиций в его экономику. </w:t>
      </w:r>
      <w:proofErr w:type="gramEnd"/>
    </w:p>
    <w:p w:rsidR="009A5AA2" w:rsidRPr="00EC20F8" w:rsidRDefault="009A5AA2" w:rsidP="009A5AA2">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В целях привлечения инвесторов на официальном Интернет-сайте администрации </w:t>
      </w:r>
      <w:proofErr w:type="gramStart"/>
      <w:r w:rsidRPr="00EC20F8">
        <w:rPr>
          <w:rFonts w:ascii="Times New Roman" w:hAnsi="Times New Roman" w:cs="Times New Roman"/>
          <w:sz w:val="28"/>
          <w:szCs w:val="28"/>
        </w:rPr>
        <w:t>Петропавловск-Камчатского</w:t>
      </w:r>
      <w:proofErr w:type="gramEnd"/>
      <w:r w:rsidRPr="00EC20F8">
        <w:rPr>
          <w:rFonts w:ascii="Times New Roman" w:hAnsi="Times New Roman" w:cs="Times New Roman"/>
          <w:sz w:val="28"/>
          <w:szCs w:val="28"/>
        </w:rPr>
        <w:t xml:space="preserve"> городского округа  сформирована страница «Инвестиции», на которой размещен Инвестиционный паспорт городского округа, содержащий информацию о потенциале и конкурентных преимуществах города. Для оперативного решения вопросов и проблем, возникающих при реализации инвестиционных проектов, создана «горячая линия» для инвесторов, адрес которой размещен на главной странице официального сайта.</w:t>
      </w:r>
    </w:p>
    <w:p w:rsidR="009A5AA2" w:rsidRPr="00EC20F8" w:rsidRDefault="009A5AA2" w:rsidP="009A5AA2">
      <w:pPr>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С учетом необходимости активизации деятельности администрации Петропавловск-Камчатского городского округа по созданию условий для стимулирования инвестиционной активности на территории городского округа и исполнению Инвестиционной Стратегии Камчатского края до 2020 года, в период до 2018 года запланирована систематизация работы органов администрации Петропавловск-Камчатского городского округа по реализации инвестиционной политики городского округа путем внедрения Стандарта деятельности органов местного самоуправления по формированию благоприятного инвестиционного климата</w:t>
      </w:r>
      <w:proofErr w:type="gramEnd"/>
      <w:r w:rsidRPr="00EC20F8">
        <w:rPr>
          <w:rFonts w:ascii="Times New Roman" w:hAnsi="Times New Roman" w:cs="Times New Roman"/>
          <w:sz w:val="28"/>
          <w:szCs w:val="28"/>
        </w:rPr>
        <w:t xml:space="preserve"> в муниципальном образовании, </w:t>
      </w:r>
      <w:proofErr w:type="gramStart"/>
      <w:r w:rsidRPr="00EC20F8">
        <w:rPr>
          <w:rFonts w:ascii="Times New Roman" w:hAnsi="Times New Roman" w:cs="Times New Roman"/>
          <w:sz w:val="28"/>
          <w:szCs w:val="28"/>
        </w:rPr>
        <w:t>разработанного</w:t>
      </w:r>
      <w:proofErr w:type="gramEnd"/>
      <w:r w:rsidRPr="00EC20F8">
        <w:rPr>
          <w:rFonts w:ascii="Times New Roman" w:hAnsi="Times New Roman" w:cs="Times New Roman"/>
          <w:sz w:val="28"/>
          <w:szCs w:val="28"/>
        </w:rPr>
        <w:t xml:space="preserve"> АНО «Агентство стратегических инициатив </w:t>
      </w:r>
      <w:r w:rsidR="00302443" w:rsidRPr="00EC20F8">
        <w:rPr>
          <w:rFonts w:ascii="Times New Roman" w:hAnsi="Times New Roman" w:cs="Times New Roman"/>
          <w:sz w:val="28"/>
          <w:szCs w:val="28"/>
        </w:rPr>
        <w:t xml:space="preserve">по продвижению новых </w:t>
      </w:r>
      <w:r w:rsidRPr="00EC20F8">
        <w:rPr>
          <w:rFonts w:ascii="Times New Roman" w:hAnsi="Times New Roman" w:cs="Times New Roman"/>
          <w:sz w:val="28"/>
          <w:szCs w:val="28"/>
        </w:rPr>
        <w:t xml:space="preserve"> </w:t>
      </w:r>
      <w:r w:rsidR="00302443" w:rsidRPr="00EC20F8">
        <w:rPr>
          <w:rFonts w:ascii="Times New Roman" w:hAnsi="Times New Roman" w:cs="Times New Roman"/>
          <w:sz w:val="28"/>
          <w:szCs w:val="28"/>
        </w:rPr>
        <w:t>проектов».</w:t>
      </w:r>
    </w:p>
    <w:p w:rsidR="00163536" w:rsidRPr="00EC20F8" w:rsidRDefault="009A5AA2" w:rsidP="00163536">
      <w:pPr>
        <w:autoSpaceDE w:val="0"/>
        <w:autoSpaceDN w:val="0"/>
        <w:adjustRightInd w:val="0"/>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Основны</w:t>
      </w:r>
      <w:r w:rsidR="004B4455" w:rsidRPr="00EC20F8">
        <w:rPr>
          <w:rFonts w:ascii="Times New Roman" w:hAnsi="Times New Roman" w:cs="Times New Roman"/>
          <w:sz w:val="28"/>
          <w:szCs w:val="28"/>
        </w:rPr>
        <w:t>е</w:t>
      </w:r>
      <w:r w:rsidRPr="00EC20F8">
        <w:rPr>
          <w:rFonts w:ascii="Times New Roman" w:hAnsi="Times New Roman" w:cs="Times New Roman"/>
          <w:sz w:val="28"/>
          <w:szCs w:val="28"/>
        </w:rPr>
        <w:t xml:space="preserve"> задачи органов администрации </w:t>
      </w:r>
      <w:r w:rsidRPr="00EC20F8">
        <w:rPr>
          <w:rFonts w:ascii="Times New Roman" w:hAnsi="Times New Roman" w:cs="Times New Roman"/>
          <w:bCs/>
          <w:iCs/>
          <w:sz w:val="28"/>
          <w:szCs w:val="28"/>
        </w:rPr>
        <w:t xml:space="preserve"> </w:t>
      </w:r>
      <w:r w:rsidRPr="00EC20F8">
        <w:rPr>
          <w:rFonts w:ascii="Times New Roman" w:hAnsi="Times New Roman" w:cs="Times New Roman"/>
          <w:sz w:val="28"/>
          <w:szCs w:val="28"/>
        </w:rPr>
        <w:t>Петропавловск-Камчатского городского округа</w:t>
      </w:r>
      <w:r w:rsidRPr="00EC20F8">
        <w:rPr>
          <w:rFonts w:ascii="Times New Roman" w:hAnsi="Times New Roman" w:cs="Times New Roman"/>
          <w:bCs/>
          <w:iCs/>
          <w:sz w:val="28"/>
          <w:szCs w:val="28"/>
        </w:rPr>
        <w:t xml:space="preserve"> в</w:t>
      </w:r>
      <w:r w:rsidRPr="00EC20F8">
        <w:rPr>
          <w:rFonts w:ascii="Times New Roman" w:hAnsi="Times New Roman" w:cs="Times New Roman"/>
          <w:b/>
          <w:bCs/>
          <w:i/>
          <w:iCs/>
          <w:sz w:val="28"/>
          <w:szCs w:val="28"/>
        </w:rPr>
        <w:t xml:space="preserve"> </w:t>
      </w:r>
      <w:r w:rsidRPr="00EC20F8">
        <w:rPr>
          <w:rFonts w:ascii="Times New Roman" w:hAnsi="Times New Roman" w:cs="Times New Roman"/>
          <w:sz w:val="28"/>
          <w:szCs w:val="28"/>
        </w:rPr>
        <w:t xml:space="preserve">сфере реализации инвестиционной и инновационной политики </w:t>
      </w:r>
      <w:r w:rsidRPr="00EC20F8">
        <w:rPr>
          <w:rFonts w:ascii="Times New Roman" w:hAnsi="Times New Roman" w:cs="Times New Roman"/>
          <w:bCs/>
          <w:iCs/>
          <w:sz w:val="28"/>
          <w:szCs w:val="28"/>
        </w:rPr>
        <w:t>на 2015-2017 годы</w:t>
      </w:r>
      <w:r w:rsidR="004B4455" w:rsidRPr="00EC20F8">
        <w:rPr>
          <w:rFonts w:ascii="Times New Roman" w:hAnsi="Times New Roman" w:cs="Times New Roman"/>
          <w:bCs/>
          <w:iCs/>
          <w:sz w:val="28"/>
          <w:szCs w:val="28"/>
        </w:rPr>
        <w:t xml:space="preserve"> обозначены в муниципальной программе </w:t>
      </w:r>
      <w:r w:rsidR="00163536" w:rsidRPr="00EC20F8">
        <w:rPr>
          <w:rFonts w:ascii="Times New Roman" w:hAnsi="Times New Roman" w:cs="Times New Roman"/>
          <w:sz w:val="28"/>
          <w:szCs w:val="28"/>
        </w:rPr>
        <w:t>«Реализация экономической политики, инвестиционной, межрегиональной и международной деятельности Петропавловск-Камчатского городского округа» (подпрограмма 2 «Формирование и продвижение имиджа Петропавловск-Камчатского городского округа как территории, благоприятной для развития внутреннего и въездного туризма»).</w:t>
      </w:r>
      <w:proofErr w:type="gramEnd"/>
    </w:p>
    <w:p w:rsidR="00714B4D" w:rsidRPr="00EC20F8" w:rsidRDefault="00714B4D" w:rsidP="00714B4D">
      <w:pPr>
        <w:tabs>
          <w:tab w:val="left" w:pos="265"/>
        </w:tabs>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Цели подпрограммы:</w:t>
      </w:r>
    </w:p>
    <w:p w:rsidR="00163536" w:rsidRPr="00EC20F8" w:rsidRDefault="00714B4D" w:rsidP="00714B4D">
      <w:pPr>
        <w:tabs>
          <w:tab w:val="left" w:pos="265"/>
        </w:tabs>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w:t>
      </w:r>
      <w:r w:rsidR="00163536" w:rsidRPr="00EC20F8">
        <w:rPr>
          <w:rFonts w:ascii="Times New Roman" w:hAnsi="Times New Roman" w:cs="Times New Roman"/>
          <w:sz w:val="28"/>
          <w:szCs w:val="28"/>
        </w:rPr>
        <w:t xml:space="preserve">Формирование и продвижение имиджа </w:t>
      </w:r>
      <w:proofErr w:type="gramStart"/>
      <w:r w:rsidR="00163536" w:rsidRPr="00EC20F8">
        <w:rPr>
          <w:rFonts w:ascii="Times New Roman" w:hAnsi="Times New Roman" w:cs="Times New Roman"/>
          <w:sz w:val="28"/>
          <w:szCs w:val="28"/>
        </w:rPr>
        <w:t>Петропавловск-Камчатского</w:t>
      </w:r>
      <w:proofErr w:type="gramEnd"/>
      <w:r w:rsidR="00163536" w:rsidRPr="00EC20F8">
        <w:rPr>
          <w:rFonts w:ascii="Times New Roman" w:hAnsi="Times New Roman" w:cs="Times New Roman"/>
          <w:sz w:val="28"/>
          <w:szCs w:val="28"/>
        </w:rPr>
        <w:t xml:space="preserve"> городского округа на мировом и российском туристском рынке.</w:t>
      </w:r>
    </w:p>
    <w:p w:rsidR="00163536" w:rsidRPr="00EC20F8" w:rsidRDefault="00714B4D" w:rsidP="00163536">
      <w:pPr>
        <w:spacing w:line="240" w:lineRule="auto"/>
        <w:ind w:firstLine="709"/>
        <w:jc w:val="both"/>
      </w:pPr>
      <w:r w:rsidRPr="00EC20F8">
        <w:rPr>
          <w:rFonts w:ascii="Times New Roman" w:hAnsi="Times New Roman" w:cs="Times New Roman"/>
          <w:sz w:val="28"/>
          <w:szCs w:val="28"/>
        </w:rPr>
        <w:t xml:space="preserve">- </w:t>
      </w:r>
      <w:r w:rsidR="00163536" w:rsidRPr="00EC20F8">
        <w:rPr>
          <w:rFonts w:ascii="Times New Roman" w:hAnsi="Times New Roman" w:cs="Times New Roman"/>
          <w:sz w:val="28"/>
          <w:szCs w:val="28"/>
        </w:rPr>
        <w:t xml:space="preserve">Создание условий для реализации экономической политики и инвестиционной деятельности </w:t>
      </w:r>
      <w:proofErr w:type="gramStart"/>
      <w:r w:rsidR="00163536" w:rsidRPr="00EC20F8">
        <w:rPr>
          <w:rFonts w:ascii="Times New Roman" w:hAnsi="Times New Roman" w:cs="Times New Roman"/>
          <w:sz w:val="28"/>
          <w:szCs w:val="28"/>
        </w:rPr>
        <w:t>Петропавловск-Камчатского</w:t>
      </w:r>
      <w:proofErr w:type="gramEnd"/>
      <w:r w:rsidR="00163536" w:rsidRPr="00EC20F8">
        <w:rPr>
          <w:rFonts w:ascii="Times New Roman" w:hAnsi="Times New Roman" w:cs="Times New Roman"/>
          <w:sz w:val="28"/>
          <w:szCs w:val="28"/>
        </w:rPr>
        <w:t xml:space="preserve"> городского округа</w:t>
      </w:r>
    </w:p>
    <w:p w:rsidR="00714B4D" w:rsidRPr="00EC20F8" w:rsidRDefault="00163536" w:rsidP="00163536">
      <w:pPr>
        <w:widowControl w:val="0"/>
        <w:autoSpaceDE w:val="0"/>
        <w:autoSpaceDN w:val="0"/>
        <w:adjustRightInd w:val="0"/>
        <w:spacing w:line="240" w:lineRule="auto"/>
        <w:ind w:firstLine="540"/>
        <w:jc w:val="both"/>
        <w:rPr>
          <w:rFonts w:ascii="Times New Roman" w:hAnsi="Times New Roman" w:cs="Times New Roman"/>
          <w:sz w:val="28"/>
          <w:szCs w:val="28"/>
        </w:rPr>
      </w:pPr>
      <w:r w:rsidRPr="00EC20F8">
        <w:rPr>
          <w:rFonts w:ascii="Times New Roman" w:hAnsi="Times New Roman" w:cs="Times New Roman"/>
          <w:sz w:val="28"/>
          <w:szCs w:val="28"/>
        </w:rPr>
        <w:t>В рамках указанной муниципальной программы планируется решение следующих задач</w:t>
      </w:r>
      <w:r w:rsidR="00714B4D" w:rsidRPr="00EC20F8">
        <w:rPr>
          <w:rFonts w:ascii="Times New Roman" w:hAnsi="Times New Roman" w:cs="Times New Roman"/>
          <w:sz w:val="28"/>
          <w:szCs w:val="28"/>
        </w:rPr>
        <w:t>:</w:t>
      </w:r>
    </w:p>
    <w:p w:rsidR="00163536" w:rsidRPr="00EC20F8" w:rsidRDefault="00714B4D" w:rsidP="00163536">
      <w:pPr>
        <w:widowControl w:val="0"/>
        <w:autoSpaceDE w:val="0"/>
        <w:autoSpaceDN w:val="0"/>
        <w:adjustRightInd w:val="0"/>
        <w:spacing w:line="240" w:lineRule="auto"/>
        <w:ind w:firstLine="540"/>
        <w:jc w:val="both"/>
        <w:rPr>
          <w:rFonts w:ascii="Times New Roman" w:hAnsi="Times New Roman" w:cs="Times New Roman"/>
          <w:sz w:val="28"/>
          <w:szCs w:val="28"/>
        </w:rPr>
      </w:pPr>
      <w:r w:rsidRPr="00EC20F8">
        <w:rPr>
          <w:rFonts w:ascii="Times New Roman" w:hAnsi="Times New Roman" w:cs="Times New Roman"/>
          <w:sz w:val="28"/>
          <w:szCs w:val="28"/>
        </w:rPr>
        <w:t>1)</w:t>
      </w:r>
      <w:r w:rsidR="00163536" w:rsidRPr="00EC20F8">
        <w:rPr>
          <w:rFonts w:ascii="Times New Roman" w:hAnsi="Times New Roman" w:cs="Times New Roman"/>
          <w:sz w:val="28"/>
          <w:szCs w:val="28"/>
        </w:rPr>
        <w:t xml:space="preserve"> по созданию условий для реализации экономической политики и инвестиционной деятельности городского округа: </w:t>
      </w:r>
    </w:p>
    <w:p w:rsidR="00163536" w:rsidRPr="00EC20F8" w:rsidRDefault="00163536" w:rsidP="00163536">
      <w:pPr>
        <w:widowControl w:val="0"/>
        <w:autoSpaceDE w:val="0"/>
        <w:autoSpaceDN w:val="0"/>
        <w:adjustRightInd w:val="0"/>
        <w:spacing w:line="240" w:lineRule="auto"/>
        <w:ind w:firstLine="540"/>
        <w:jc w:val="both"/>
        <w:rPr>
          <w:rFonts w:ascii="Times New Roman" w:hAnsi="Times New Roman" w:cs="Times New Roman"/>
          <w:sz w:val="28"/>
          <w:szCs w:val="28"/>
        </w:rPr>
      </w:pPr>
      <w:r w:rsidRPr="00EC20F8">
        <w:rPr>
          <w:rFonts w:ascii="Times New Roman" w:hAnsi="Times New Roman" w:cs="Times New Roman"/>
          <w:sz w:val="28"/>
          <w:szCs w:val="28"/>
        </w:rPr>
        <w:t xml:space="preserve">- формирование и обеспечение </w:t>
      </w:r>
      <w:proofErr w:type="gramStart"/>
      <w:r w:rsidRPr="00EC20F8">
        <w:rPr>
          <w:rFonts w:ascii="Times New Roman" w:hAnsi="Times New Roman" w:cs="Times New Roman"/>
          <w:sz w:val="28"/>
          <w:szCs w:val="28"/>
        </w:rPr>
        <w:t>реализации документов стратегического планирования социально-экономического развития городского округа</w:t>
      </w:r>
      <w:proofErr w:type="gramEnd"/>
      <w:r w:rsidRPr="00EC20F8">
        <w:rPr>
          <w:rFonts w:ascii="Times New Roman" w:hAnsi="Times New Roman" w:cs="Times New Roman"/>
          <w:sz w:val="28"/>
          <w:szCs w:val="28"/>
        </w:rPr>
        <w:t>;</w:t>
      </w:r>
    </w:p>
    <w:p w:rsidR="00163536" w:rsidRPr="00EC20F8" w:rsidRDefault="00163536" w:rsidP="00163536">
      <w:pPr>
        <w:widowControl w:val="0"/>
        <w:autoSpaceDE w:val="0"/>
        <w:autoSpaceDN w:val="0"/>
        <w:adjustRightInd w:val="0"/>
        <w:spacing w:line="240" w:lineRule="auto"/>
        <w:ind w:firstLine="540"/>
        <w:jc w:val="both"/>
        <w:rPr>
          <w:rFonts w:ascii="Times New Roman" w:hAnsi="Times New Roman" w:cs="Times New Roman"/>
          <w:sz w:val="28"/>
          <w:szCs w:val="28"/>
        </w:rPr>
      </w:pPr>
      <w:r w:rsidRPr="00EC20F8">
        <w:rPr>
          <w:rFonts w:ascii="Times New Roman" w:hAnsi="Times New Roman" w:cs="Times New Roman"/>
          <w:sz w:val="28"/>
          <w:szCs w:val="28"/>
        </w:rPr>
        <w:t xml:space="preserve">- внедрение </w:t>
      </w:r>
      <w:proofErr w:type="gramStart"/>
      <w:r w:rsidRPr="00EC20F8">
        <w:rPr>
          <w:rFonts w:ascii="Times New Roman" w:hAnsi="Times New Roman" w:cs="Times New Roman"/>
          <w:sz w:val="28"/>
          <w:szCs w:val="28"/>
        </w:rPr>
        <w:t>Стандарта деятельности органов местного самоуправления</w:t>
      </w:r>
      <w:proofErr w:type="gramEnd"/>
      <w:r w:rsidRPr="00EC20F8">
        <w:rPr>
          <w:rFonts w:ascii="Times New Roman" w:hAnsi="Times New Roman" w:cs="Times New Roman"/>
          <w:sz w:val="28"/>
          <w:szCs w:val="28"/>
        </w:rPr>
        <w:t xml:space="preserve"> по обеспечению благоприятного инвестиционного климата в муниципальном образовании, разработанного Агентством стратегических инициатив по продвижению новых проектов.</w:t>
      </w:r>
    </w:p>
    <w:p w:rsidR="00714B4D" w:rsidRPr="00EC20F8" w:rsidRDefault="00714B4D" w:rsidP="00163536">
      <w:pPr>
        <w:widowControl w:val="0"/>
        <w:autoSpaceDE w:val="0"/>
        <w:autoSpaceDN w:val="0"/>
        <w:adjustRightInd w:val="0"/>
        <w:spacing w:line="240" w:lineRule="auto"/>
        <w:ind w:firstLine="540"/>
        <w:jc w:val="both"/>
        <w:rPr>
          <w:rFonts w:ascii="Times New Roman" w:hAnsi="Times New Roman" w:cs="Times New Roman"/>
          <w:sz w:val="28"/>
          <w:szCs w:val="28"/>
        </w:rPr>
      </w:pPr>
      <w:r w:rsidRPr="00EC20F8">
        <w:rPr>
          <w:rFonts w:ascii="Times New Roman" w:hAnsi="Times New Roman" w:cs="Times New Roman"/>
          <w:sz w:val="28"/>
          <w:szCs w:val="28"/>
        </w:rPr>
        <w:t>2) по формированию и продвижению имиджа городского округа на мировом и российском туристском рынке:</w:t>
      </w:r>
    </w:p>
    <w:p w:rsidR="00714B4D" w:rsidRPr="00EC20F8" w:rsidRDefault="00714B4D" w:rsidP="00714B4D">
      <w:pPr>
        <w:widowControl w:val="0"/>
        <w:autoSpaceDE w:val="0"/>
        <w:autoSpaceDN w:val="0"/>
        <w:adjustRightInd w:val="0"/>
        <w:spacing w:line="240" w:lineRule="auto"/>
        <w:ind w:firstLine="540"/>
        <w:jc w:val="both"/>
        <w:rPr>
          <w:rFonts w:ascii="Times New Roman" w:hAnsi="Times New Roman" w:cs="Times New Roman"/>
          <w:sz w:val="28"/>
          <w:szCs w:val="28"/>
        </w:rPr>
      </w:pPr>
      <w:r w:rsidRPr="00EC20F8">
        <w:rPr>
          <w:rFonts w:ascii="Times New Roman" w:hAnsi="Times New Roman" w:cs="Times New Roman"/>
          <w:sz w:val="28"/>
          <w:szCs w:val="28"/>
        </w:rPr>
        <w:t>- разработка благоприятного для развития внутреннего и въездного туризма имиджа, использование и популяризация туристских ресурсов городского округа;</w:t>
      </w:r>
    </w:p>
    <w:p w:rsidR="00714B4D" w:rsidRPr="00EC20F8" w:rsidRDefault="00714B4D" w:rsidP="00714B4D">
      <w:pPr>
        <w:widowControl w:val="0"/>
        <w:autoSpaceDE w:val="0"/>
        <w:autoSpaceDN w:val="0"/>
        <w:adjustRightInd w:val="0"/>
        <w:spacing w:line="240" w:lineRule="auto"/>
        <w:ind w:firstLine="540"/>
        <w:jc w:val="both"/>
        <w:rPr>
          <w:rFonts w:ascii="Times New Roman" w:hAnsi="Times New Roman" w:cs="Times New Roman"/>
          <w:sz w:val="28"/>
          <w:szCs w:val="28"/>
        </w:rPr>
      </w:pPr>
      <w:r w:rsidRPr="00EC20F8">
        <w:rPr>
          <w:rFonts w:ascii="Times New Roman" w:hAnsi="Times New Roman" w:cs="Times New Roman"/>
          <w:sz w:val="28"/>
          <w:szCs w:val="28"/>
        </w:rPr>
        <w:t xml:space="preserve">- создание условий для развития въездного и внутреннего туризма в </w:t>
      </w:r>
      <w:proofErr w:type="spellStart"/>
      <w:proofErr w:type="gramStart"/>
      <w:r w:rsidRPr="00EC20F8">
        <w:rPr>
          <w:rFonts w:ascii="Times New Roman" w:hAnsi="Times New Roman" w:cs="Times New Roman"/>
          <w:sz w:val="28"/>
          <w:szCs w:val="28"/>
        </w:rPr>
        <w:t>Петропавловск-Камчатской</w:t>
      </w:r>
      <w:proofErr w:type="spellEnd"/>
      <w:proofErr w:type="gramEnd"/>
      <w:r w:rsidRPr="00EC20F8">
        <w:rPr>
          <w:rFonts w:ascii="Times New Roman" w:hAnsi="Times New Roman" w:cs="Times New Roman"/>
          <w:sz w:val="28"/>
          <w:szCs w:val="28"/>
        </w:rPr>
        <w:t xml:space="preserve"> опорной зоне туристско-рекреационного кластера Камчатского края.</w:t>
      </w:r>
    </w:p>
    <w:p w:rsidR="00714B4D" w:rsidRPr="00EC20F8" w:rsidRDefault="00000DA1" w:rsidP="00163536">
      <w:pPr>
        <w:widowControl w:val="0"/>
        <w:autoSpaceDE w:val="0"/>
        <w:autoSpaceDN w:val="0"/>
        <w:adjustRightInd w:val="0"/>
        <w:spacing w:line="240" w:lineRule="auto"/>
        <w:ind w:firstLine="540"/>
        <w:jc w:val="both"/>
        <w:rPr>
          <w:rFonts w:ascii="Times New Roman" w:hAnsi="Times New Roman" w:cs="Times New Roman"/>
          <w:sz w:val="28"/>
          <w:szCs w:val="28"/>
        </w:rPr>
      </w:pPr>
      <w:r w:rsidRPr="00EC20F8">
        <w:rPr>
          <w:rFonts w:ascii="Times New Roman" w:hAnsi="Times New Roman" w:cs="Times New Roman"/>
          <w:sz w:val="28"/>
          <w:szCs w:val="28"/>
        </w:rPr>
        <w:t>Поставленные задачи планируется так же решать путем:</w:t>
      </w:r>
    </w:p>
    <w:p w:rsidR="00000DA1" w:rsidRPr="00EC20F8" w:rsidRDefault="009A5AA2" w:rsidP="00000DA1">
      <w:pPr>
        <w:ind w:firstLine="709"/>
        <w:jc w:val="both"/>
        <w:rPr>
          <w:rFonts w:ascii="Times New Roman" w:hAnsi="Times New Roman" w:cs="Times New Roman"/>
          <w:sz w:val="28"/>
          <w:szCs w:val="28"/>
        </w:rPr>
      </w:pPr>
      <w:r w:rsidRPr="00EC20F8">
        <w:rPr>
          <w:rFonts w:ascii="Times New Roman" w:hAnsi="Times New Roman" w:cs="Times New Roman"/>
          <w:sz w:val="28"/>
          <w:szCs w:val="28"/>
        </w:rPr>
        <w:t>- реализация мер по продвижению имиджа городского округа на российском и международном уровне в целях позиционирования и продвижения городского округа как промышленного, культурного, туристического и перспективного инвестиционного центра Камчатского края;</w:t>
      </w:r>
    </w:p>
    <w:p w:rsidR="009A5AA2" w:rsidRPr="00EC20F8" w:rsidRDefault="009A5AA2" w:rsidP="00000DA1">
      <w:pPr>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 активизация работы по привлечению частных инвесторов, в том числе развитие социальной и инженерной инфраструктуры  посредством реализации проектов на принципах </w:t>
      </w:r>
      <w:proofErr w:type="spellStart"/>
      <w:r w:rsidRPr="00EC20F8">
        <w:rPr>
          <w:rFonts w:ascii="Times New Roman" w:hAnsi="Times New Roman" w:cs="Times New Roman"/>
          <w:sz w:val="28"/>
          <w:szCs w:val="28"/>
        </w:rPr>
        <w:t>муниципально</w:t>
      </w:r>
      <w:proofErr w:type="spellEnd"/>
      <w:r w:rsidRPr="00EC20F8">
        <w:rPr>
          <w:rFonts w:ascii="Times New Roman" w:hAnsi="Times New Roman" w:cs="Times New Roman"/>
          <w:sz w:val="28"/>
          <w:szCs w:val="28"/>
        </w:rPr>
        <w:t xml:space="preserve"> - частного партнерства;</w:t>
      </w:r>
      <w:proofErr w:type="gramEnd"/>
    </w:p>
    <w:p w:rsidR="009A5AA2" w:rsidRPr="00EC20F8" w:rsidRDefault="009A5AA2" w:rsidP="009A5AA2">
      <w:pPr>
        <w:tabs>
          <w:tab w:val="left" w:pos="1134"/>
        </w:tabs>
        <w:ind w:firstLine="709"/>
        <w:jc w:val="both"/>
        <w:rPr>
          <w:rFonts w:ascii="Times New Roman" w:hAnsi="Times New Roman" w:cs="Times New Roman"/>
          <w:sz w:val="28"/>
          <w:szCs w:val="28"/>
        </w:rPr>
      </w:pPr>
      <w:r w:rsidRPr="00EC20F8">
        <w:rPr>
          <w:rFonts w:ascii="Times New Roman" w:hAnsi="Times New Roman" w:cs="Times New Roman"/>
          <w:sz w:val="28"/>
          <w:szCs w:val="28"/>
        </w:rPr>
        <w:t>- обеспечение участия городского округа в реализации целевых федеральных и краевых программ, национальных проектах, дальнейшее привлечение средств вышестоящих бюджетов и внебюджетных источников для развития городского округа;</w:t>
      </w:r>
    </w:p>
    <w:p w:rsidR="009A5AA2" w:rsidRPr="00EC20F8" w:rsidRDefault="009A5AA2" w:rsidP="009A5AA2">
      <w:pPr>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 создание наиболее адаптированного к потребностям как российских, так и иностранных инвесторов информационного ресурса – Инвестиционного портала </w:t>
      </w:r>
      <w:proofErr w:type="spellStart"/>
      <w:r w:rsidRPr="00EC20F8">
        <w:rPr>
          <w:rFonts w:ascii="Times New Roman" w:hAnsi="Times New Roman" w:cs="Times New Roman"/>
          <w:sz w:val="28"/>
          <w:szCs w:val="28"/>
        </w:rPr>
        <w:t>Петропавловск-камчатского</w:t>
      </w:r>
      <w:proofErr w:type="spellEnd"/>
      <w:r w:rsidRPr="00EC20F8">
        <w:rPr>
          <w:rFonts w:ascii="Times New Roman" w:hAnsi="Times New Roman" w:cs="Times New Roman"/>
          <w:sz w:val="28"/>
          <w:szCs w:val="28"/>
        </w:rPr>
        <w:t xml:space="preserve"> городского округа, позволяющего в свободном доступе получить наиболее актуальную информацию об инвестиционном потенциале городского округа и перспективах развития его транспортной и инженерной инфраструктуры, посредством электронного документооборота осуществить необходимые административные процедуры и получить муниципальные услуги в сфере строительства и смежных отраслях, а также воспользоваться мерами</w:t>
      </w:r>
      <w:proofErr w:type="gramEnd"/>
      <w:r w:rsidRPr="00EC20F8">
        <w:rPr>
          <w:rFonts w:ascii="Times New Roman" w:hAnsi="Times New Roman" w:cs="Times New Roman"/>
          <w:sz w:val="28"/>
          <w:szCs w:val="28"/>
        </w:rPr>
        <w:t xml:space="preserve"> поддержки инвестиционных проектов на муниципальном уровне; </w:t>
      </w:r>
    </w:p>
    <w:p w:rsidR="009A5AA2" w:rsidRPr="00EC20F8" w:rsidRDefault="009A5AA2" w:rsidP="009A5AA2">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стимулирование субъектов </w:t>
      </w:r>
      <w:proofErr w:type="spellStart"/>
      <w:r w:rsidRPr="00EC20F8">
        <w:rPr>
          <w:rFonts w:ascii="Times New Roman" w:hAnsi="Times New Roman" w:cs="Times New Roman"/>
          <w:sz w:val="28"/>
          <w:szCs w:val="28"/>
        </w:rPr>
        <w:t>инвестиционно</w:t>
      </w:r>
      <w:proofErr w:type="spellEnd"/>
      <w:r w:rsidRPr="00EC20F8">
        <w:rPr>
          <w:rFonts w:ascii="Times New Roman" w:hAnsi="Times New Roman" w:cs="Times New Roman"/>
          <w:sz w:val="28"/>
          <w:szCs w:val="28"/>
        </w:rPr>
        <w:t xml:space="preserve"> - инновационной деятельности, в том числе путем формирования комплекса мер поддержки инвестиционной и инновационной деятельности на муниципальном уровне;</w:t>
      </w:r>
    </w:p>
    <w:p w:rsidR="009A5AA2" w:rsidRPr="00EC20F8" w:rsidRDefault="009A5AA2" w:rsidP="009A5AA2">
      <w:pPr>
        <w:pStyle w:val="a3"/>
        <w:spacing w:line="240" w:lineRule="auto"/>
        <w:ind w:left="0"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совершенствование взаимодействия органов местного самоуправления </w:t>
      </w:r>
      <w:proofErr w:type="gramStart"/>
      <w:r w:rsidRPr="00EC20F8">
        <w:rPr>
          <w:rFonts w:ascii="Times New Roman" w:hAnsi="Times New Roman" w:cs="Times New Roman"/>
          <w:sz w:val="28"/>
          <w:szCs w:val="28"/>
        </w:rPr>
        <w:t>Петропавловск-Камчатского</w:t>
      </w:r>
      <w:proofErr w:type="gramEnd"/>
      <w:r w:rsidRPr="00EC20F8">
        <w:rPr>
          <w:rFonts w:ascii="Times New Roman" w:hAnsi="Times New Roman" w:cs="Times New Roman"/>
          <w:sz w:val="28"/>
          <w:szCs w:val="28"/>
        </w:rPr>
        <w:t xml:space="preserve"> городского округа и органов государственной власти Камчатского края по вопросам развития инвестиционной и инновационной деятельности, а также сопровождения конкретных приоритетных инвестиционных проектов в целях наиболее эффективной их реализации;</w:t>
      </w:r>
    </w:p>
    <w:p w:rsidR="009A5AA2" w:rsidRPr="00EC20F8" w:rsidRDefault="009A5AA2" w:rsidP="009A5AA2">
      <w:pPr>
        <w:pStyle w:val="a3"/>
        <w:spacing w:line="240" w:lineRule="auto"/>
        <w:ind w:left="0"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 разработка муниципальных правовых актов, направленных на регулирование порядка взаимодействия органов местного самоуправления Петропавловск-Камчатского городского округа и субъектов инвестиционной деятельности, в том числе в сфере реализации проектов на принципах </w:t>
      </w:r>
      <w:proofErr w:type="spellStart"/>
      <w:r w:rsidRPr="00EC20F8">
        <w:rPr>
          <w:rFonts w:ascii="Times New Roman" w:hAnsi="Times New Roman" w:cs="Times New Roman"/>
          <w:sz w:val="28"/>
          <w:szCs w:val="28"/>
        </w:rPr>
        <w:t>муниципально-частного</w:t>
      </w:r>
      <w:proofErr w:type="spellEnd"/>
      <w:r w:rsidRPr="00EC20F8">
        <w:rPr>
          <w:rFonts w:ascii="Times New Roman" w:hAnsi="Times New Roman" w:cs="Times New Roman"/>
          <w:sz w:val="28"/>
          <w:szCs w:val="28"/>
        </w:rPr>
        <w:t xml:space="preserve"> партнерства, вовлечения в инвестиционный процесс объектов муниципальной собственности, налоговых и иных преференций;</w:t>
      </w:r>
      <w:proofErr w:type="gramEnd"/>
    </w:p>
    <w:p w:rsidR="009A5AA2" w:rsidRPr="00EC20F8" w:rsidRDefault="009A5AA2" w:rsidP="009A5AA2">
      <w:pPr>
        <w:widowControl w:val="0"/>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обеспечение информационной поддержки организаций город</w:t>
      </w:r>
      <w:r w:rsidR="00000DA1" w:rsidRPr="00EC20F8">
        <w:rPr>
          <w:rFonts w:ascii="Times New Roman" w:hAnsi="Times New Roman" w:cs="Times New Roman"/>
          <w:sz w:val="28"/>
          <w:szCs w:val="28"/>
        </w:rPr>
        <w:t>ского округа</w:t>
      </w:r>
      <w:r w:rsidRPr="00EC20F8">
        <w:rPr>
          <w:rFonts w:ascii="Times New Roman" w:hAnsi="Times New Roman" w:cs="Times New Roman"/>
          <w:sz w:val="28"/>
          <w:szCs w:val="28"/>
        </w:rPr>
        <w:t xml:space="preserve"> по направлениям инвестиционной политики, привлечение их к участию в ее реализации посредством создания совещательного коллегиального органа при администрации Петропавловск-Камчатского городского округа, объединяющего деятельность органов администрации городского округа, предпринимательского сообщества и общественности в целях его инвестиционного развития;</w:t>
      </w:r>
      <w:proofErr w:type="gramEnd"/>
    </w:p>
    <w:p w:rsidR="009A5AA2" w:rsidRPr="00EC20F8" w:rsidRDefault="009A5AA2" w:rsidP="009A5AA2">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популяризация и продвижения продукции, работ, услуг местных производителей в целях содействия в поиске рынков сбыта продукции. </w:t>
      </w:r>
    </w:p>
    <w:p w:rsidR="009A5AA2" w:rsidRPr="00EC20F8" w:rsidRDefault="009A5AA2" w:rsidP="00905D0F">
      <w:pPr>
        <w:autoSpaceDE w:val="0"/>
        <w:autoSpaceDN w:val="0"/>
        <w:adjustRightInd w:val="0"/>
        <w:spacing w:line="240" w:lineRule="auto"/>
        <w:jc w:val="center"/>
        <w:outlineLvl w:val="0"/>
        <w:rPr>
          <w:rFonts w:ascii="Times New Roman" w:hAnsi="Times New Roman" w:cs="Times New Roman"/>
          <w:sz w:val="28"/>
          <w:szCs w:val="28"/>
        </w:rPr>
      </w:pPr>
    </w:p>
    <w:p w:rsidR="00000DA1" w:rsidRPr="00EC20F8" w:rsidRDefault="00000DA1" w:rsidP="00905D0F">
      <w:pPr>
        <w:autoSpaceDE w:val="0"/>
        <w:autoSpaceDN w:val="0"/>
        <w:adjustRightInd w:val="0"/>
        <w:spacing w:line="240" w:lineRule="auto"/>
        <w:jc w:val="center"/>
        <w:outlineLvl w:val="0"/>
        <w:rPr>
          <w:rFonts w:ascii="Times New Roman" w:hAnsi="Times New Roman" w:cs="Times New Roman"/>
          <w:sz w:val="28"/>
          <w:szCs w:val="28"/>
        </w:rPr>
      </w:pPr>
      <w:bookmarkStart w:id="50" w:name="_Toc400529664"/>
    </w:p>
    <w:p w:rsidR="00000DA1" w:rsidRPr="00EC20F8" w:rsidRDefault="00000DA1" w:rsidP="00905D0F">
      <w:pPr>
        <w:autoSpaceDE w:val="0"/>
        <w:autoSpaceDN w:val="0"/>
        <w:adjustRightInd w:val="0"/>
        <w:spacing w:line="240" w:lineRule="auto"/>
        <w:jc w:val="center"/>
        <w:outlineLvl w:val="0"/>
        <w:rPr>
          <w:rFonts w:ascii="Times New Roman" w:hAnsi="Times New Roman" w:cs="Times New Roman"/>
          <w:sz w:val="28"/>
          <w:szCs w:val="28"/>
        </w:rPr>
      </w:pPr>
    </w:p>
    <w:p w:rsidR="00000DA1" w:rsidRPr="00EC20F8" w:rsidRDefault="00000DA1" w:rsidP="00905D0F">
      <w:pPr>
        <w:autoSpaceDE w:val="0"/>
        <w:autoSpaceDN w:val="0"/>
        <w:adjustRightInd w:val="0"/>
        <w:spacing w:line="240" w:lineRule="auto"/>
        <w:jc w:val="center"/>
        <w:outlineLvl w:val="0"/>
        <w:rPr>
          <w:rFonts w:ascii="Times New Roman" w:hAnsi="Times New Roman" w:cs="Times New Roman"/>
          <w:sz w:val="28"/>
          <w:szCs w:val="28"/>
        </w:rPr>
      </w:pPr>
    </w:p>
    <w:p w:rsidR="00905D0F" w:rsidRPr="00EC20F8" w:rsidRDefault="00905D0F" w:rsidP="00905D0F">
      <w:pPr>
        <w:autoSpaceDE w:val="0"/>
        <w:autoSpaceDN w:val="0"/>
        <w:adjustRightInd w:val="0"/>
        <w:spacing w:line="240" w:lineRule="auto"/>
        <w:jc w:val="center"/>
        <w:outlineLvl w:val="0"/>
        <w:rPr>
          <w:rFonts w:ascii="Times New Roman" w:hAnsi="Times New Roman" w:cs="Times New Roman"/>
          <w:sz w:val="28"/>
          <w:szCs w:val="28"/>
        </w:rPr>
      </w:pPr>
      <w:r w:rsidRPr="00EC20F8">
        <w:rPr>
          <w:rFonts w:ascii="Times New Roman" w:hAnsi="Times New Roman" w:cs="Times New Roman"/>
          <w:sz w:val="28"/>
          <w:szCs w:val="28"/>
        </w:rPr>
        <w:t>4.3. Земельная и строительная политика</w:t>
      </w:r>
      <w:bookmarkEnd w:id="44"/>
      <w:bookmarkEnd w:id="45"/>
      <w:bookmarkEnd w:id="46"/>
      <w:bookmarkEnd w:id="47"/>
      <w:bookmarkEnd w:id="48"/>
      <w:bookmarkEnd w:id="49"/>
      <w:bookmarkEnd w:id="50"/>
    </w:p>
    <w:p w:rsidR="00905D0F" w:rsidRPr="00EC20F8" w:rsidRDefault="00905D0F" w:rsidP="00905D0F"/>
    <w:p w:rsidR="00905D0F" w:rsidRPr="00EC20F8" w:rsidRDefault="00905D0F" w:rsidP="00905D0F">
      <w:pPr>
        <w:spacing w:line="240" w:lineRule="auto"/>
        <w:ind w:firstLine="709"/>
        <w:jc w:val="both"/>
        <w:rPr>
          <w:rFonts w:ascii="Times New Roman" w:hAnsi="Times New Roman" w:cs="Times New Roman"/>
          <w:sz w:val="28"/>
          <w:szCs w:val="28"/>
        </w:rPr>
      </w:pPr>
      <w:bookmarkStart w:id="51" w:name="_Toc335475352"/>
      <w:bookmarkStart w:id="52" w:name="_Toc335475592"/>
      <w:r w:rsidRPr="00EC20F8">
        <w:rPr>
          <w:rFonts w:ascii="Times New Roman" w:hAnsi="Times New Roman" w:cs="Times New Roman"/>
          <w:sz w:val="28"/>
          <w:szCs w:val="28"/>
        </w:rPr>
        <w:t>Важным фактором инвестиционной привлекательности является земельная политика муниципального образования.</w:t>
      </w:r>
      <w:bookmarkEnd w:id="51"/>
      <w:bookmarkEnd w:id="52"/>
      <w:r w:rsidRPr="00EC20F8">
        <w:rPr>
          <w:rFonts w:ascii="Times New Roman" w:hAnsi="Times New Roman" w:cs="Times New Roman"/>
          <w:sz w:val="28"/>
          <w:szCs w:val="28"/>
        </w:rPr>
        <w:t xml:space="preserve"> Основные направления политики городского округа в сфере земельных отношений:</w:t>
      </w:r>
    </w:p>
    <w:p w:rsidR="00905D0F" w:rsidRPr="00EC20F8" w:rsidRDefault="00905D0F" w:rsidP="00905D0F">
      <w:pPr>
        <w:shd w:val="clear" w:color="auto" w:fill="FFFFFF"/>
        <w:tabs>
          <w:tab w:val="left" w:pos="1134"/>
        </w:tabs>
        <w:spacing w:line="240" w:lineRule="auto"/>
        <w:ind w:right="-1" w:firstLine="709"/>
        <w:jc w:val="both"/>
        <w:rPr>
          <w:rFonts w:ascii="Times New Roman" w:eastAsia="Times New Roman" w:hAnsi="Times New Roman" w:cs="Times New Roman"/>
          <w:sz w:val="28"/>
          <w:szCs w:val="28"/>
          <w:lang w:eastAsia="ru-RU"/>
        </w:rPr>
      </w:pPr>
      <w:r w:rsidRPr="00EC20F8">
        <w:rPr>
          <w:rFonts w:ascii="Times New Roman" w:eastAsia="Times New Roman" w:hAnsi="Times New Roman" w:cs="Times New Roman"/>
          <w:sz w:val="28"/>
          <w:szCs w:val="28"/>
          <w:lang w:eastAsia="ru-RU"/>
        </w:rPr>
        <w:t>-</w:t>
      </w:r>
      <w:r w:rsidRPr="00EC20F8">
        <w:rPr>
          <w:rFonts w:ascii="Times New Roman" w:eastAsia="Times New Roman" w:hAnsi="Times New Roman" w:cs="Times New Roman"/>
          <w:sz w:val="28"/>
          <w:szCs w:val="28"/>
        </w:rPr>
        <w:tab/>
      </w:r>
      <w:r w:rsidRPr="00EC20F8">
        <w:rPr>
          <w:rFonts w:ascii="Times New Roman" w:eastAsia="Times New Roman" w:hAnsi="Times New Roman" w:cs="Times New Roman"/>
          <w:sz w:val="28"/>
          <w:szCs w:val="28"/>
          <w:lang w:eastAsia="ru-RU"/>
        </w:rPr>
        <w:t>предоставление прав на земельные участки, находящиеся в собственности городского округа, и земельные участки, государственная собственность на которые не разграничена, на территории городского округа, на которых расположены здания, строения, сооружения;</w:t>
      </w:r>
    </w:p>
    <w:p w:rsidR="00905D0F" w:rsidRPr="00EC20F8" w:rsidRDefault="00905D0F" w:rsidP="00905D0F">
      <w:pPr>
        <w:shd w:val="clear" w:color="auto" w:fill="FFFFFF"/>
        <w:tabs>
          <w:tab w:val="left" w:pos="1134"/>
        </w:tabs>
        <w:spacing w:line="240" w:lineRule="auto"/>
        <w:ind w:right="-1" w:firstLine="709"/>
        <w:jc w:val="both"/>
        <w:rPr>
          <w:rFonts w:ascii="Times New Roman" w:eastAsia="Times New Roman" w:hAnsi="Times New Roman" w:cs="Times New Roman"/>
          <w:sz w:val="28"/>
          <w:szCs w:val="28"/>
          <w:lang w:eastAsia="ru-RU"/>
        </w:rPr>
      </w:pPr>
      <w:r w:rsidRPr="00EC20F8">
        <w:rPr>
          <w:rFonts w:ascii="Times New Roman" w:eastAsia="Times New Roman" w:hAnsi="Times New Roman" w:cs="Times New Roman"/>
          <w:sz w:val="28"/>
          <w:szCs w:val="28"/>
          <w:lang w:eastAsia="ru-RU"/>
        </w:rPr>
        <w:t>-</w:t>
      </w:r>
      <w:r w:rsidRPr="00EC20F8">
        <w:rPr>
          <w:rFonts w:ascii="Times New Roman" w:eastAsia="Times New Roman" w:hAnsi="Times New Roman" w:cs="Times New Roman"/>
          <w:sz w:val="28"/>
          <w:szCs w:val="28"/>
        </w:rPr>
        <w:tab/>
      </w:r>
      <w:r w:rsidRPr="00EC20F8">
        <w:rPr>
          <w:rFonts w:ascii="Times New Roman" w:eastAsia="Times New Roman" w:hAnsi="Times New Roman" w:cs="Times New Roman"/>
          <w:sz w:val="28"/>
          <w:szCs w:val="28"/>
          <w:lang w:eastAsia="ru-RU"/>
        </w:rPr>
        <w:t>предоставление в аренду земельных участков для целей, не связанных со строительством (под озеленение, для размещения детских площадок, для хранения автотранспорта), и на праве постоянного (бессрочного) пользования, государственная собственность на которые не разграничена, на территории городского округа;</w:t>
      </w:r>
    </w:p>
    <w:p w:rsidR="00905D0F" w:rsidRPr="00EC20F8" w:rsidRDefault="00905D0F" w:rsidP="00905D0F">
      <w:pPr>
        <w:shd w:val="clear" w:color="auto" w:fill="FFFFFF"/>
        <w:tabs>
          <w:tab w:val="left" w:pos="1134"/>
        </w:tabs>
        <w:spacing w:line="240" w:lineRule="auto"/>
        <w:ind w:right="-1" w:firstLine="709"/>
        <w:jc w:val="both"/>
        <w:rPr>
          <w:rFonts w:ascii="Times New Roman" w:eastAsia="Times New Roman" w:hAnsi="Times New Roman" w:cs="Times New Roman"/>
          <w:sz w:val="28"/>
          <w:szCs w:val="28"/>
          <w:lang w:eastAsia="ru-RU"/>
        </w:rPr>
      </w:pPr>
      <w:r w:rsidRPr="00EC20F8">
        <w:rPr>
          <w:rFonts w:ascii="Times New Roman" w:eastAsia="Times New Roman" w:hAnsi="Times New Roman" w:cs="Times New Roman"/>
          <w:sz w:val="28"/>
          <w:szCs w:val="28"/>
          <w:lang w:eastAsia="ru-RU"/>
        </w:rPr>
        <w:t>-</w:t>
      </w:r>
      <w:r w:rsidRPr="00EC20F8">
        <w:rPr>
          <w:rFonts w:ascii="Times New Roman" w:eastAsia="Times New Roman" w:hAnsi="Times New Roman" w:cs="Times New Roman"/>
          <w:sz w:val="28"/>
          <w:szCs w:val="28"/>
        </w:rPr>
        <w:tab/>
      </w:r>
      <w:r w:rsidRPr="00EC20F8">
        <w:rPr>
          <w:rFonts w:ascii="Times New Roman" w:eastAsia="Times New Roman" w:hAnsi="Times New Roman" w:cs="Times New Roman"/>
          <w:sz w:val="28"/>
          <w:szCs w:val="28"/>
          <w:lang w:eastAsia="ru-RU"/>
        </w:rPr>
        <w:t>осуществление мероприятий по формированию земельных участков для муниципальных нужд и под многоквартирными  домами;</w:t>
      </w:r>
    </w:p>
    <w:p w:rsidR="00905D0F" w:rsidRPr="00EC20F8" w:rsidRDefault="00905D0F" w:rsidP="00905D0F">
      <w:pPr>
        <w:shd w:val="clear" w:color="auto" w:fill="FFFFFF"/>
        <w:tabs>
          <w:tab w:val="left" w:pos="1134"/>
        </w:tabs>
        <w:spacing w:line="240" w:lineRule="auto"/>
        <w:ind w:right="-1" w:firstLine="709"/>
        <w:jc w:val="both"/>
        <w:rPr>
          <w:rFonts w:ascii="Times New Roman" w:eastAsia="Times New Roman" w:hAnsi="Times New Roman" w:cs="Times New Roman"/>
          <w:sz w:val="28"/>
          <w:szCs w:val="28"/>
          <w:lang w:eastAsia="ru-RU"/>
        </w:rPr>
      </w:pPr>
      <w:r w:rsidRPr="00EC20F8">
        <w:rPr>
          <w:rFonts w:ascii="Times New Roman" w:eastAsia="Times New Roman" w:hAnsi="Times New Roman" w:cs="Times New Roman"/>
          <w:sz w:val="28"/>
          <w:szCs w:val="28"/>
          <w:lang w:eastAsia="ru-RU"/>
        </w:rPr>
        <w:t>-</w:t>
      </w:r>
      <w:r w:rsidRPr="00EC20F8">
        <w:rPr>
          <w:rFonts w:ascii="Times New Roman" w:eastAsia="Times New Roman" w:hAnsi="Times New Roman" w:cs="Times New Roman"/>
          <w:sz w:val="28"/>
          <w:szCs w:val="28"/>
        </w:rPr>
        <w:tab/>
      </w:r>
      <w:r w:rsidRPr="00EC20F8">
        <w:rPr>
          <w:rFonts w:ascii="Times New Roman" w:eastAsia="Times New Roman" w:hAnsi="Times New Roman" w:cs="Times New Roman"/>
          <w:sz w:val="28"/>
          <w:szCs w:val="28"/>
          <w:lang w:eastAsia="ru-RU"/>
        </w:rPr>
        <w:t>проведение мероприятий по регистрации права городского округа на земельные участки, на которых расположены здания, строения, сооружения, находящиеся в муниципальной собственности;</w:t>
      </w:r>
    </w:p>
    <w:p w:rsidR="00905D0F" w:rsidRPr="00EC20F8" w:rsidRDefault="00905D0F" w:rsidP="00905D0F">
      <w:pPr>
        <w:shd w:val="clear" w:color="auto" w:fill="FFFFFF"/>
        <w:tabs>
          <w:tab w:val="left" w:pos="1134"/>
        </w:tabs>
        <w:spacing w:line="240" w:lineRule="auto"/>
        <w:ind w:right="-1" w:firstLine="709"/>
        <w:jc w:val="both"/>
        <w:rPr>
          <w:rFonts w:ascii="Times New Roman" w:eastAsia="Times New Roman" w:hAnsi="Times New Roman" w:cs="Times New Roman"/>
          <w:sz w:val="28"/>
          <w:szCs w:val="28"/>
          <w:lang w:eastAsia="ru-RU"/>
        </w:rPr>
      </w:pPr>
      <w:r w:rsidRPr="00EC20F8">
        <w:rPr>
          <w:rFonts w:ascii="Times New Roman" w:eastAsia="Times New Roman" w:hAnsi="Times New Roman" w:cs="Times New Roman"/>
          <w:sz w:val="28"/>
          <w:szCs w:val="28"/>
          <w:lang w:eastAsia="ru-RU"/>
        </w:rPr>
        <w:t>-</w:t>
      </w:r>
      <w:r w:rsidRPr="00EC20F8">
        <w:rPr>
          <w:rFonts w:ascii="Times New Roman" w:eastAsia="Times New Roman" w:hAnsi="Times New Roman" w:cs="Times New Roman"/>
          <w:sz w:val="28"/>
          <w:szCs w:val="28"/>
        </w:rPr>
        <w:tab/>
      </w:r>
      <w:r w:rsidRPr="00EC20F8">
        <w:rPr>
          <w:rFonts w:ascii="Times New Roman" w:eastAsia="Times New Roman" w:hAnsi="Times New Roman" w:cs="Times New Roman"/>
          <w:sz w:val="28"/>
          <w:szCs w:val="28"/>
          <w:lang w:eastAsia="ru-RU"/>
        </w:rPr>
        <w:t>осуществление учета земельных участков, находящихся в муниципальной собственности;</w:t>
      </w:r>
    </w:p>
    <w:p w:rsidR="00905D0F" w:rsidRPr="00EC20F8" w:rsidRDefault="00905D0F" w:rsidP="00905D0F">
      <w:pPr>
        <w:ind w:firstLine="709"/>
        <w:jc w:val="both"/>
        <w:rPr>
          <w:rFonts w:ascii="Times New Roman" w:hAnsi="Times New Roman" w:cs="Times New Roman"/>
          <w:sz w:val="28"/>
          <w:szCs w:val="28"/>
        </w:rPr>
      </w:pPr>
      <w:r w:rsidRPr="00EC20F8">
        <w:rPr>
          <w:rFonts w:ascii="Times New Roman" w:eastAsia="Times New Roman" w:hAnsi="Times New Roman" w:cs="Times New Roman"/>
          <w:sz w:val="28"/>
          <w:szCs w:val="28"/>
          <w:lang w:eastAsia="ru-RU"/>
        </w:rPr>
        <w:t>-</w:t>
      </w:r>
      <w:r w:rsidRPr="00EC20F8">
        <w:rPr>
          <w:rFonts w:ascii="Times New Roman" w:eastAsia="Times New Roman" w:hAnsi="Times New Roman" w:cs="Times New Roman"/>
          <w:sz w:val="28"/>
          <w:szCs w:val="28"/>
        </w:rPr>
        <w:t xml:space="preserve"> </w:t>
      </w:r>
      <w:r w:rsidRPr="00EC20F8">
        <w:rPr>
          <w:rFonts w:ascii="Times New Roman" w:eastAsia="Times New Roman" w:hAnsi="Times New Roman" w:cs="Times New Roman"/>
          <w:sz w:val="28"/>
          <w:szCs w:val="28"/>
          <w:lang w:eastAsia="ru-RU"/>
        </w:rPr>
        <w:t>осуществление мероприятий по изъятию (выкупу) земельных участков для нужд городского округа</w:t>
      </w:r>
      <w:r w:rsidRPr="00EC20F8">
        <w:rPr>
          <w:rFonts w:ascii="Times New Roman" w:eastAsia="Times New Roman" w:hAnsi="Times New Roman" w:cs="Times New Roman"/>
          <w:sz w:val="28"/>
          <w:szCs w:val="28"/>
        </w:rPr>
        <w:t>.</w:t>
      </w:r>
    </w:p>
    <w:p w:rsidR="00905D0F" w:rsidRPr="00EC20F8" w:rsidRDefault="00905D0F" w:rsidP="00905D0F">
      <w:pPr>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В  2013 году в собственности городского округа находится 2 788,10 тыс. кв. м. Физическим лицам предоставлено 66,49 тыс. кв. м., в том числе во владение и пользование – 1,29 тыс. кв. м. Юридическим лицам предоставлено 1 882,60 тыс. кв. м., в том числе в пользование – 1 128,90 тыс. кв. м.</w:t>
      </w:r>
      <w:proofErr w:type="gramEnd"/>
    </w:p>
    <w:p w:rsidR="00905D0F" w:rsidRPr="00EC20F8" w:rsidRDefault="00905D0F" w:rsidP="009A5AA2">
      <w:pPr>
        <w:autoSpaceDE w:val="0"/>
        <w:autoSpaceDN w:val="0"/>
        <w:adjustRightInd w:val="0"/>
        <w:spacing w:before="80" w:after="60" w:line="228" w:lineRule="auto"/>
        <w:jc w:val="center"/>
        <w:rPr>
          <w:rFonts w:ascii="Times New Roman" w:hAnsi="Times New Roman" w:cs="Times New Roman"/>
          <w:i/>
          <w:sz w:val="24"/>
          <w:szCs w:val="24"/>
        </w:rPr>
      </w:pPr>
      <w:r w:rsidRPr="00EC20F8">
        <w:rPr>
          <w:rFonts w:ascii="Times New Roman" w:eastAsia="Times New Roman" w:hAnsi="Times New Roman" w:cs="Times New Roman"/>
          <w:sz w:val="28"/>
          <w:szCs w:val="28"/>
          <w:lang w:eastAsia="ru-RU"/>
        </w:rPr>
        <w:t xml:space="preserve">Количество заключенных договоров аренды земельных участков </w:t>
      </w:r>
      <w:r w:rsidRPr="00EC20F8">
        <w:rPr>
          <w:rFonts w:ascii="Times New Roman" w:hAnsi="Times New Roman" w:cs="Times New Roman"/>
          <w:sz w:val="28"/>
          <w:szCs w:val="28"/>
        </w:rPr>
        <w:t xml:space="preserve">на территории </w:t>
      </w:r>
      <w:proofErr w:type="gramStart"/>
      <w:r w:rsidRPr="00EC20F8">
        <w:rPr>
          <w:rFonts w:ascii="Times New Roman" w:hAnsi="Times New Roman" w:cs="Times New Roman"/>
          <w:sz w:val="28"/>
          <w:szCs w:val="28"/>
        </w:rPr>
        <w:t>городского</w:t>
      </w:r>
      <w:proofErr w:type="gramEnd"/>
      <w:r w:rsidRPr="00EC20F8">
        <w:rPr>
          <w:rFonts w:ascii="Times New Roman" w:hAnsi="Times New Roman" w:cs="Times New Roman"/>
          <w:sz w:val="28"/>
          <w:szCs w:val="28"/>
        </w:rPr>
        <w:t xml:space="preserve"> </w:t>
      </w:r>
      <w:proofErr w:type="spellStart"/>
      <w:r w:rsidRPr="00EC20F8">
        <w:rPr>
          <w:rFonts w:ascii="Times New Roman" w:hAnsi="Times New Roman" w:cs="Times New Roman"/>
          <w:sz w:val="28"/>
          <w:szCs w:val="28"/>
        </w:rPr>
        <w:t>округа</w:t>
      </w:r>
      <w:r w:rsidR="009A5AA2" w:rsidRPr="00EC20F8">
        <w:rPr>
          <w:rFonts w:ascii="Times New Roman" w:hAnsi="Times New Roman" w:cs="Times New Roman"/>
          <w:i/>
          <w:sz w:val="24"/>
          <w:szCs w:val="24"/>
        </w:rPr>
        <w:t>Т</w:t>
      </w:r>
      <w:r w:rsidRPr="00EC20F8">
        <w:rPr>
          <w:rFonts w:ascii="Times New Roman" w:hAnsi="Times New Roman" w:cs="Times New Roman"/>
          <w:i/>
          <w:sz w:val="24"/>
          <w:szCs w:val="24"/>
        </w:rPr>
        <w:t>аблица</w:t>
      </w:r>
      <w:proofErr w:type="spellEnd"/>
      <w:r w:rsidRPr="00EC20F8">
        <w:rPr>
          <w:rFonts w:ascii="Times New Roman" w:hAnsi="Times New Roman" w:cs="Times New Roman"/>
          <w:i/>
          <w:sz w:val="24"/>
          <w:szCs w:val="24"/>
        </w:rPr>
        <w:t xml:space="preserve"> 4.3.1 </w:t>
      </w:r>
    </w:p>
    <w:tbl>
      <w:tblPr>
        <w:tblW w:w="5000" w:type="pct"/>
        <w:jc w:val="center"/>
        <w:tblLook w:val="04A0"/>
      </w:tblPr>
      <w:tblGrid>
        <w:gridCol w:w="3480"/>
        <w:gridCol w:w="1668"/>
        <w:gridCol w:w="1712"/>
        <w:gridCol w:w="2711"/>
      </w:tblGrid>
      <w:tr w:rsidR="00905D0F" w:rsidRPr="00EC20F8" w:rsidTr="009A5AA2">
        <w:trPr>
          <w:trHeight w:val="230"/>
          <w:jc w:val="center"/>
        </w:trPr>
        <w:tc>
          <w:tcPr>
            <w:tcW w:w="3480" w:type="dxa"/>
            <w:vMerge w:val="restart"/>
            <w:tcBorders>
              <w:top w:val="single" w:sz="4" w:space="0" w:color="auto"/>
              <w:left w:val="single" w:sz="4" w:space="0" w:color="auto"/>
              <w:right w:val="single" w:sz="4" w:space="0" w:color="auto"/>
            </w:tcBorders>
            <w:shd w:val="clear" w:color="auto" w:fill="auto"/>
            <w:hideMark/>
          </w:tcPr>
          <w:p w:rsidR="00905D0F" w:rsidRPr="00EC20F8" w:rsidRDefault="00905D0F" w:rsidP="009A5AA2">
            <w:pPr>
              <w:spacing w:line="240" w:lineRule="auto"/>
              <w:jc w:val="center"/>
              <w:rPr>
                <w:rFonts w:ascii="Times New Roman" w:eastAsia="Times New Roman" w:hAnsi="Times New Roman" w:cs="Times New Roman"/>
                <w:b/>
                <w:sz w:val="20"/>
                <w:szCs w:val="20"/>
                <w:lang w:eastAsia="ru-RU"/>
              </w:rPr>
            </w:pPr>
          </w:p>
        </w:tc>
        <w:tc>
          <w:tcPr>
            <w:tcW w:w="1668" w:type="dxa"/>
            <w:vMerge w:val="restart"/>
            <w:tcBorders>
              <w:top w:val="single" w:sz="4" w:space="0" w:color="auto"/>
              <w:left w:val="single" w:sz="4" w:space="0" w:color="auto"/>
              <w:bottom w:val="nil"/>
              <w:right w:val="single" w:sz="4" w:space="0" w:color="auto"/>
            </w:tcBorders>
            <w:shd w:val="clear" w:color="auto" w:fill="auto"/>
            <w:hideMark/>
          </w:tcPr>
          <w:p w:rsidR="00905D0F" w:rsidRPr="00EC20F8" w:rsidRDefault="00905D0F" w:rsidP="009A5AA2">
            <w:pPr>
              <w:spacing w:line="240" w:lineRule="auto"/>
              <w:jc w:val="center"/>
              <w:rPr>
                <w:rFonts w:ascii="Times New Roman" w:eastAsia="Times New Roman" w:hAnsi="Times New Roman" w:cs="Times New Roman"/>
                <w:b/>
                <w:bCs/>
                <w:sz w:val="20"/>
                <w:szCs w:val="20"/>
                <w:lang w:eastAsia="ru-RU"/>
              </w:rPr>
            </w:pPr>
            <w:r w:rsidRPr="00EC20F8">
              <w:rPr>
                <w:rFonts w:ascii="Times New Roman" w:eastAsia="Times New Roman" w:hAnsi="Times New Roman" w:cs="Times New Roman"/>
                <w:b/>
                <w:bCs/>
                <w:sz w:val="20"/>
                <w:szCs w:val="20"/>
                <w:lang w:eastAsia="ru-RU"/>
              </w:rPr>
              <w:t>2012 год</w:t>
            </w:r>
          </w:p>
        </w:tc>
        <w:tc>
          <w:tcPr>
            <w:tcW w:w="1712" w:type="dxa"/>
            <w:vMerge w:val="restart"/>
            <w:tcBorders>
              <w:top w:val="single" w:sz="4" w:space="0" w:color="auto"/>
              <w:left w:val="single" w:sz="4" w:space="0" w:color="auto"/>
              <w:bottom w:val="nil"/>
              <w:right w:val="single" w:sz="4" w:space="0" w:color="auto"/>
            </w:tcBorders>
            <w:shd w:val="clear" w:color="auto" w:fill="auto"/>
            <w:hideMark/>
          </w:tcPr>
          <w:p w:rsidR="00905D0F" w:rsidRPr="00EC20F8" w:rsidRDefault="00905D0F" w:rsidP="009A5AA2">
            <w:pPr>
              <w:spacing w:line="240" w:lineRule="auto"/>
              <w:jc w:val="center"/>
              <w:rPr>
                <w:rFonts w:ascii="Times New Roman" w:eastAsia="Times New Roman" w:hAnsi="Times New Roman" w:cs="Times New Roman"/>
                <w:b/>
                <w:bCs/>
                <w:sz w:val="20"/>
                <w:szCs w:val="20"/>
                <w:lang w:eastAsia="ru-RU"/>
              </w:rPr>
            </w:pPr>
            <w:r w:rsidRPr="00EC20F8">
              <w:rPr>
                <w:rFonts w:ascii="Times New Roman" w:eastAsia="Times New Roman" w:hAnsi="Times New Roman" w:cs="Times New Roman"/>
                <w:b/>
                <w:bCs/>
                <w:sz w:val="20"/>
                <w:szCs w:val="20"/>
                <w:lang w:eastAsia="ru-RU"/>
              </w:rPr>
              <w:t>2013 год</w:t>
            </w:r>
          </w:p>
        </w:tc>
        <w:tc>
          <w:tcPr>
            <w:tcW w:w="2711" w:type="dxa"/>
            <w:vMerge w:val="restart"/>
            <w:tcBorders>
              <w:top w:val="single" w:sz="4" w:space="0" w:color="auto"/>
              <w:left w:val="single" w:sz="4" w:space="0" w:color="auto"/>
              <w:bottom w:val="nil"/>
              <w:right w:val="single" w:sz="4" w:space="0" w:color="auto"/>
            </w:tcBorders>
            <w:shd w:val="clear" w:color="auto" w:fill="auto"/>
            <w:hideMark/>
          </w:tcPr>
          <w:p w:rsidR="00905D0F" w:rsidRPr="00EC20F8" w:rsidRDefault="00905D0F" w:rsidP="009A5AA2">
            <w:pPr>
              <w:spacing w:line="240" w:lineRule="auto"/>
              <w:jc w:val="center"/>
              <w:rPr>
                <w:rFonts w:ascii="Times New Roman" w:eastAsia="Times New Roman" w:hAnsi="Times New Roman" w:cs="Times New Roman"/>
                <w:b/>
                <w:bCs/>
                <w:sz w:val="20"/>
                <w:szCs w:val="20"/>
                <w:lang w:eastAsia="ru-RU"/>
              </w:rPr>
            </w:pPr>
            <w:r w:rsidRPr="00EC20F8">
              <w:rPr>
                <w:rFonts w:ascii="Times New Roman" w:eastAsia="Times New Roman" w:hAnsi="Times New Roman" w:cs="Times New Roman"/>
                <w:b/>
                <w:bCs/>
                <w:sz w:val="20"/>
                <w:szCs w:val="20"/>
                <w:lang w:eastAsia="ru-RU"/>
              </w:rPr>
              <w:t>По состоянию</w:t>
            </w:r>
          </w:p>
          <w:p w:rsidR="00905D0F" w:rsidRPr="00EC20F8" w:rsidRDefault="00905D0F" w:rsidP="009A5AA2">
            <w:pPr>
              <w:spacing w:line="240" w:lineRule="auto"/>
              <w:jc w:val="center"/>
              <w:rPr>
                <w:rFonts w:ascii="Times New Roman" w:eastAsia="Times New Roman" w:hAnsi="Times New Roman" w:cs="Times New Roman"/>
                <w:b/>
                <w:bCs/>
                <w:sz w:val="20"/>
                <w:szCs w:val="20"/>
                <w:lang w:eastAsia="ru-RU"/>
              </w:rPr>
            </w:pPr>
            <w:r w:rsidRPr="00EC20F8">
              <w:rPr>
                <w:rFonts w:ascii="Times New Roman" w:eastAsia="Times New Roman" w:hAnsi="Times New Roman" w:cs="Times New Roman"/>
                <w:b/>
                <w:bCs/>
                <w:sz w:val="20"/>
                <w:szCs w:val="20"/>
                <w:lang w:eastAsia="ru-RU"/>
              </w:rPr>
              <w:t>на 01.07.2014 года</w:t>
            </w:r>
          </w:p>
        </w:tc>
      </w:tr>
      <w:tr w:rsidR="00905D0F" w:rsidRPr="00EC20F8" w:rsidTr="009A5AA2">
        <w:trPr>
          <w:trHeight w:val="230"/>
          <w:jc w:val="center"/>
        </w:trPr>
        <w:tc>
          <w:tcPr>
            <w:tcW w:w="3480" w:type="dxa"/>
            <w:vMerge/>
            <w:tcBorders>
              <w:left w:val="single" w:sz="4" w:space="0" w:color="auto"/>
              <w:bottom w:val="single" w:sz="4" w:space="0" w:color="auto"/>
              <w:right w:val="single" w:sz="4" w:space="0" w:color="auto"/>
            </w:tcBorders>
            <w:shd w:val="clear" w:color="auto" w:fill="auto"/>
            <w:vAlign w:val="center"/>
            <w:hideMark/>
          </w:tcPr>
          <w:p w:rsidR="00905D0F" w:rsidRPr="00EC20F8" w:rsidRDefault="00905D0F" w:rsidP="009A5AA2">
            <w:pPr>
              <w:spacing w:line="240" w:lineRule="auto"/>
              <w:jc w:val="center"/>
              <w:rPr>
                <w:rFonts w:ascii="Times New Roman" w:eastAsia="Times New Roman" w:hAnsi="Times New Roman" w:cs="Times New Roman"/>
                <w:sz w:val="20"/>
                <w:szCs w:val="20"/>
                <w:lang w:eastAsia="ru-RU"/>
              </w:rPr>
            </w:pPr>
          </w:p>
        </w:tc>
        <w:tc>
          <w:tcPr>
            <w:tcW w:w="1668" w:type="dxa"/>
            <w:vMerge/>
            <w:tcBorders>
              <w:top w:val="single" w:sz="4" w:space="0" w:color="auto"/>
              <w:left w:val="single" w:sz="4" w:space="0" w:color="auto"/>
              <w:bottom w:val="nil"/>
              <w:right w:val="single" w:sz="4" w:space="0" w:color="auto"/>
            </w:tcBorders>
            <w:vAlign w:val="center"/>
            <w:hideMark/>
          </w:tcPr>
          <w:p w:rsidR="00905D0F" w:rsidRPr="00EC20F8" w:rsidRDefault="00905D0F" w:rsidP="009A5AA2">
            <w:pPr>
              <w:spacing w:line="240" w:lineRule="auto"/>
              <w:rPr>
                <w:rFonts w:ascii="Times New Roman" w:eastAsia="Times New Roman" w:hAnsi="Times New Roman" w:cs="Times New Roman"/>
                <w:bCs/>
                <w:sz w:val="20"/>
                <w:szCs w:val="20"/>
                <w:lang w:eastAsia="ru-RU"/>
              </w:rPr>
            </w:pPr>
          </w:p>
        </w:tc>
        <w:tc>
          <w:tcPr>
            <w:tcW w:w="1712" w:type="dxa"/>
            <w:vMerge/>
            <w:tcBorders>
              <w:top w:val="single" w:sz="4" w:space="0" w:color="auto"/>
              <w:left w:val="single" w:sz="4" w:space="0" w:color="auto"/>
              <w:bottom w:val="nil"/>
              <w:right w:val="single" w:sz="4" w:space="0" w:color="auto"/>
            </w:tcBorders>
            <w:vAlign w:val="center"/>
            <w:hideMark/>
          </w:tcPr>
          <w:p w:rsidR="00905D0F" w:rsidRPr="00EC20F8" w:rsidRDefault="00905D0F" w:rsidP="009A5AA2">
            <w:pPr>
              <w:spacing w:line="240" w:lineRule="auto"/>
              <w:rPr>
                <w:rFonts w:ascii="Times New Roman" w:eastAsia="Times New Roman" w:hAnsi="Times New Roman" w:cs="Times New Roman"/>
                <w:bCs/>
                <w:sz w:val="20"/>
                <w:szCs w:val="20"/>
                <w:lang w:eastAsia="ru-RU"/>
              </w:rPr>
            </w:pPr>
          </w:p>
        </w:tc>
        <w:tc>
          <w:tcPr>
            <w:tcW w:w="2711" w:type="dxa"/>
            <w:vMerge/>
            <w:tcBorders>
              <w:top w:val="single" w:sz="4" w:space="0" w:color="auto"/>
              <w:left w:val="single" w:sz="4" w:space="0" w:color="auto"/>
              <w:bottom w:val="nil"/>
              <w:right w:val="single" w:sz="4" w:space="0" w:color="auto"/>
            </w:tcBorders>
            <w:vAlign w:val="center"/>
            <w:hideMark/>
          </w:tcPr>
          <w:p w:rsidR="00905D0F" w:rsidRPr="00EC20F8" w:rsidRDefault="00905D0F" w:rsidP="009A5AA2">
            <w:pPr>
              <w:spacing w:line="240" w:lineRule="auto"/>
              <w:rPr>
                <w:rFonts w:ascii="Times New Roman" w:eastAsia="Times New Roman" w:hAnsi="Times New Roman" w:cs="Times New Roman"/>
                <w:bCs/>
                <w:sz w:val="20"/>
                <w:szCs w:val="20"/>
                <w:lang w:eastAsia="ru-RU"/>
              </w:rPr>
            </w:pPr>
          </w:p>
        </w:tc>
      </w:tr>
      <w:tr w:rsidR="00905D0F" w:rsidRPr="00EC20F8" w:rsidTr="009A5AA2">
        <w:trPr>
          <w:trHeight w:val="293"/>
          <w:jc w:val="center"/>
        </w:trPr>
        <w:tc>
          <w:tcPr>
            <w:tcW w:w="3480" w:type="dxa"/>
            <w:tcBorders>
              <w:top w:val="nil"/>
              <w:left w:val="single" w:sz="4" w:space="0" w:color="auto"/>
              <w:bottom w:val="single" w:sz="4" w:space="0" w:color="auto"/>
              <w:right w:val="single" w:sz="4" w:space="0" w:color="auto"/>
            </w:tcBorders>
            <w:shd w:val="clear" w:color="auto" w:fill="auto"/>
            <w:vAlign w:val="center"/>
            <w:hideMark/>
          </w:tcPr>
          <w:p w:rsidR="00905D0F" w:rsidRPr="00EC20F8" w:rsidRDefault="00905D0F" w:rsidP="009A5AA2">
            <w:pPr>
              <w:spacing w:line="240" w:lineRule="auto"/>
              <w:jc w:val="center"/>
              <w:rPr>
                <w:rFonts w:ascii="Times New Roman" w:eastAsia="Times New Roman" w:hAnsi="Times New Roman" w:cs="Times New Roman"/>
                <w:bCs/>
                <w:sz w:val="20"/>
                <w:szCs w:val="20"/>
                <w:lang w:eastAsia="ru-RU"/>
              </w:rPr>
            </w:pPr>
            <w:r w:rsidRPr="00EC20F8">
              <w:rPr>
                <w:rFonts w:ascii="Times New Roman" w:eastAsia="Times New Roman" w:hAnsi="Times New Roman" w:cs="Times New Roman"/>
                <w:bCs/>
                <w:sz w:val="20"/>
                <w:szCs w:val="20"/>
                <w:lang w:eastAsia="ru-RU"/>
              </w:rPr>
              <w:t>Количество договоров аренды, штук</w:t>
            </w:r>
          </w:p>
        </w:tc>
        <w:tc>
          <w:tcPr>
            <w:tcW w:w="1668" w:type="dxa"/>
            <w:tcBorders>
              <w:top w:val="single" w:sz="4" w:space="0" w:color="auto"/>
              <w:left w:val="nil"/>
              <w:bottom w:val="single" w:sz="4" w:space="0" w:color="auto"/>
              <w:right w:val="single" w:sz="4" w:space="0" w:color="auto"/>
            </w:tcBorders>
            <w:shd w:val="clear" w:color="auto" w:fill="auto"/>
            <w:vAlign w:val="center"/>
            <w:hideMark/>
          </w:tcPr>
          <w:p w:rsidR="00905D0F" w:rsidRPr="00EC20F8" w:rsidRDefault="00905D0F" w:rsidP="009A5AA2">
            <w:pPr>
              <w:spacing w:line="240" w:lineRule="auto"/>
              <w:jc w:val="center"/>
              <w:rPr>
                <w:rFonts w:ascii="Times New Roman" w:eastAsia="Times New Roman" w:hAnsi="Times New Roman" w:cs="Times New Roman"/>
                <w:sz w:val="20"/>
                <w:szCs w:val="20"/>
                <w:lang w:eastAsia="ru-RU"/>
              </w:rPr>
            </w:pPr>
            <w:r w:rsidRPr="00EC20F8">
              <w:rPr>
                <w:rFonts w:ascii="Times New Roman" w:eastAsia="Times New Roman" w:hAnsi="Times New Roman" w:cs="Times New Roman"/>
                <w:sz w:val="20"/>
                <w:szCs w:val="20"/>
                <w:lang w:eastAsia="ru-RU"/>
              </w:rPr>
              <w:t>1 286</w:t>
            </w:r>
          </w:p>
        </w:tc>
        <w:tc>
          <w:tcPr>
            <w:tcW w:w="1712" w:type="dxa"/>
            <w:tcBorders>
              <w:top w:val="single" w:sz="4" w:space="0" w:color="auto"/>
              <w:left w:val="nil"/>
              <w:bottom w:val="single" w:sz="4" w:space="0" w:color="auto"/>
              <w:right w:val="single" w:sz="4" w:space="0" w:color="auto"/>
            </w:tcBorders>
            <w:shd w:val="clear" w:color="auto" w:fill="auto"/>
            <w:vAlign w:val="center"/>
            <w:hideMark/>
          </w:tcPr>
          <w:p w:rsidR="00905D0F" w:rsidRPr="00EC20F8" w:rsidRDefault="00905D0F" w:rsidP="009A5AA2">
            <w:pPr>
              <w:spacing w:line="240" w:lineRule="auto"/>
              <w:jc w:val="center"/>
              <w:rPr>
                <w:rFonts w:ascii="Times New Roman" w:eastAsia="Times New Roman" w:hAnsi="Times New Roman" w:cs="Times New Roman"/>
                <w:sz w:val="20"/>
                <w:szCs w:val="20"/>
                <w:lang w:eastAsia="ru-RU"/>
              </w:rPr>
            </w:pPr>
            <w:r w:rsidRPr="00EC20F8">
              <w:rPr>
                <w:rFonts w:ascii="Times New Roman" w:eastAsia="Times New Roman" w:hAnsi="Times New Roman" w:cs="Times New Roman"/>
                <w:sz w:val="20"/>
                <w:szCs w:val="20"/>
                <w:lang w:eastAsia="ru-RU"/>
              </w:rPr>
              <w:t>1 349</w:t>
            </w:r>
          </w:p>
        </w:tc>
        <w:tc>
          <w:tcPr>
            <w:tcW w:w="2711" w:type="dxa"/>
            <w:tcBorders>
              <w:top w:val="single" w:sz="4" w:space="0" w:color="auto"/>
              <w:left w:val="nil"/>
              <w:bottom w:val="single" w:sz="4" w:space="0" w:color="auto"/>
              <w:right w:val="single" w:sz="4" w:space="0" w:color="auto"/>
            </w:tcBorders>
            <w:shd w:val="clear" w:color="auto" w:fill="auto"/>
            <w:vAlign w:val="center"/>
            <w:hideMark/>
          </w:tcPr>
          <w:p w:rsidR="00905D0F" w:rsidRPr="00EC20F8" w:rsidRDefault="00905D0F" w:rsidP="009A5AA2">
            <w:pPr>
              <w:spacing w:line="240" w:lineRule="auto"/>
              <w:jc w:val="center"/>
              <w:rPr>
                <w:rFonts w:ascii="Times New Roman" w:eastAsia="Times New Roman" w:hAnsi="Times New Roman" w:cs="Times New Roman"/>
                <w:sz w:val="20"/>
                <w:szCs w:val="20"/>
                <w:lang w:eastAsia="ru-RU"/>
              </w:rPr>
            </w:pPr>
            <w:r w:rsidRPr="00EC20F8">
              <w:rPr>
                <w:rFonts w:ascii="Times New Roman" w:eastAsia="Times New Roman" w:hAnsi="Times New Roman" w:cs="Times New Roman"/>
                <w:sz w:val="20"/>
                <w:szCs w:val="20"/>
                <w:lang w:eastAsia="ru-RU"/>
              </w:rPr>
              <w:t>1 338</w:t>
            </w:r>
          </w:p>
        </w:tc>
      </w:tr>
      <w:tr w:rsidR="00905D0F" w:rsidRPr="00EC20F8" w:rsidTr="009A5AA2">
        <w:trPr>
          <w:trHeight w:val="284"/>
          <w:jc w:val="center"/>
        </w:trPr>
        <w:tc>
          <w:tcPr>
            <w:tcW w:w="3480" w:type="dxa"/>
            <w:tcBorders>
              <w:top w:val="nil"/>
              <w:left w:val="single" w:sz="4" w:space="0" w:color="auto"/>
              <w:bottom w:val="single" w:sz="4" w:space="0" w:color="auto"/>
              <w:right w:val="single" w:sz="4" w:space="0" w:color="auto"/>
            </w:tcBorders>
            <w:shd w:val="clear" w:color="auto" w:fill="auto"/>
            <w:vAlign w:val="center"/>
            <w:hideMark/>
          </w:tcPr>
          <w:p w:rsidR="00905D0F" w:rsidRPr="00EC20F8" w:rsidRDefault="00905D0F" w:rsidP="009A5AA2">
            <w:pPr>
              <w:spacing w:line="221" w:lineRule="auto"/>
              <w:rPr>
                <w:rFonts w:ascii="Times New Roman" w:eastAsia="Times New Roman" w:hAnsi="Times New Roman" w:cs="Times New Roman"/>
                <w:bCs/>
                <w:sz w:val="20"/>
                <w:szCs w:val="20"/>
                <w:lang w:eastAsia="ru-RU"/>
              </w:rPr>
            </w:pPr>
            <w:r w:rsidRPr="00EC20F8">
              <w:rPr>
                <w:rFonts w:ascii="Times New Roman" w:eastAsia="Times New Roman" w:hAnsi="Times New Roman" w:cs="Times New Roman"/>
                <w:bCs/>
                <w:sz w:val="20"/>
                <w:szCs w:val="20"/>
                <w:lang w:eastAsia="ru-RU"/>
              </w:rPr>
              <w:t>Количество  расторгнутых договоров аренды в связи с переходом права собственности  на земельные участки, штук</w:t>
            </w:r>
          </w:p>
        </w:tc>
        <w:tc>
          <w:tcPr>
            <w:tcW w:w="1668" w:type="dxa"/>
            <w:tcBorders>
              <w:top w:val="nil"/>
              <w:left w:val="nil"/>
              <w:bottom w:val="single" w:sz="4" w:space="0" w:color="auto"/>
              <w:right w:val="single" w:sz="4" w:space="0" w:color="auto"/>
            </w:tcBorders>
            <w:shd w:val="clear" w:color="auto" w:fill="auto"/>
            <w:vAlign w:val="center"/>
            <w:hideMark/>
          </w:tcPr>
          <w:p w:rsidR="00905D0F" w:rsidRPr="00EC20F8" w:rsidRDefault="00905D0F" w:rsidP="009A5AA2">
            <w:pPr>
              <w:spacing w:line="240" w:lineRule="auto"/>
              <w:jc w:val="center"/>
              <w:rPr>
                <w:rFonts w:ascii="Times New Roman" w:eastAsia="Times New Roman" w:hAnsi="Times New Roman" w:cs="Times New Roman"/>
                <w:sz w:val="20"/>
                <w:szCs w:val="20"/>
                <w:lang w:eastAsia="ru-RU"/>
              </w:rPr>
            </w:pPr>
            <w:r w:rsidRPr="00EC20F8">
              <w:rPr>
                <w:rFonts w:ascii="Times New Roman" w:eastAsia="Times New Roman" w:hAnsi="Times New Roman" w:cs="Times New Roman"/>
                <w:sz w:val="20"/>
                <w:szCs w:val="20"/>
                <w:lang w:eastAsia="ru-RU"/>
              </w:rPr>
              <w:t>41</w:t>
            </w:r>
          </w:p>
        </w:tc>
        <w:tc>
          <w:tcPr>
            <w:tcW w:w="1712" w:type="dxa"/>
            <w:tcBorders>
              <w:top w:val="nil"/>
              <w:left w:val="nil"/>
              <w:bottom w:val="single" w:sz="4" w:space="0" w:color="auto"/>
              <w:right w:val="single" w:sz="4" w:space="0" w:color="auto"/>
            </w:tcBorders>
            <w:shd w:val="clear" w:color="auto" w:fill="auto"/>
            <w:vAlign w:val="center"/>
            <w:hideMark/>
          </w:tcPr>
          <w:p w:rsidR="00905D0F" w:rsidRPr="00EC20F8" w:rsidRDefault="00905D0F" w:rsidP="009A5AA2">
            <w:pPr>
              <w:spacing w:line="240" w:lineRule="auto"/>
              <w:jc w:val="center"/>
              <w:rPr>
                <w:rFonts w:ascii="Times New Roman" w:eastAsia="Times New Roman" w:hAnsi="Times New Roman" w:cs="Times New Roman"/>
                <w:sz w:val="20"/>
                <w:szCs w:val="20"/>
                <w:lang w:eastAsia="ru-RU"/>
              </w:rPr>
            </w:pPr>
            <w:r w:rsidRPr="00EC20F8">
              <w:rPr>
                <w:rFonts w:ascii="Times New Roman" w:eastAsia="Times New Roman" w:hAnsi="Times New Roman" w:cs="Times New Roman"/>
                <w:sz w:val="20"/>
                <w:szCs w:val="20"/>
                <w:lang w:eastAsia="ru-RU"/>
              </w:rPr>
              <w:t>138</w:t>
            </w:r>
          </w:p>
        </w:tc>
        <w:tc>
          <w:tcPr>
            <w:tcW w:w="2711" w:type="dxa"/>
            <w:tcBorders>
              <w:top w:val="nil"/>
              <w:left w:val="nil"/>
              <w:bottom w:val="single" w:sz="4" w:space="0" w:color="auto"/>
              <w:right w:val="single" w:sz="4" w:space="0" w:color="auto"/>
            </w:tcBorders>
            <w:shd w:val="clear" w:color="auto" w:fill="auto"/>
            <w:vAlign w:val="center"/>
            <w:hideMark/>
          </w:tcPr>
          <w:p w:rsidR="00905D0F" w:rsidRPr="00EC20F8" w:rsidRDefault="00905D0F" w:rsidP="009A5AA2">
            <w:pPr>
              <w:spacing w:line="240" w:lineRule="auto"/>
              <w:jc w:val="center"/>
              <w:rPr>
                <w:rFonts w:ascii="Times New Roman" w:eastAsia="Times New Roman" w:hAnsi="Times New Roman" w:cs="Times New Roman"/>
                <w:sz w:val="20"/>
                <w:szCs w:val="20"/>
                <w:lang w:eastAsia="ru-RU"/>
              </w:rPr>
            </w:pPr>
            <w:r w:rsidRPr="00EC20F8">
              <w:rPr>
                <w:rFonts w:ascii="Times New Roman" w:eastAsia="Times New Roman" w:hAnsi="Times New Roman" w:cs="Times New Roman"/>
                <w:sz w:val="20"/>
                <w:szCs w:val="20"/>
                <w:lang w:eastAsia="ru-RU"/>
              </w:rPr>
              <w:t>7</w:t>
            </w:r>
          </w:p>
        </w:tc>
      </w:tr>
    </w:tbl>
    <w:p w:rsidR="00905D0F" w:rsidRPr="00EC20F8" w:rsidRDefault="00905D0F" w:rsidP="00905D0F">
      <w:pPr>
        <w:ind w:firstLine="708"/>
        <w:jc w:val="both"/>
        <w:rPr>
          <w:rFonts w:ascii="Times New Roman" w:eastAsia="Calibri" w:hAnsi="Times New Roman" w:cs="Times New Roman"/>
          <w:sz w:val="28"/>
          <w:szCs w:val="28"/>
        </w:rPr>
      </w:pPr>
      <w:bookmarkStart w:id="53" w:name="_Toc335475354"/>
      <w:bookmarkStart w:id="54" w:name="_Toc335475594"/>
      <w:r w:rsidRPr="00EC20F8">
        <w:rPr>
          <w:rFonts w:ascii="Times New Roman" w:eastAsia="Calibri" w:hAnsi="Times New Roman" w:cs="Times New Roman"/>
          <w:sz w:val="28"/>
          <w:szCs w:val="28"/>
        </w:rPr>
        <w:t xml:space="preserve">В 2013 году Департаментом градостроительства и земельных отношений </w:t>
      </w:r>
      <w:r w:rsidRPr="00EC20F8">
        <w:rPr>
          <w:rFonts w:ascii="Times New Roman" w:hAnsi="Times New Roman" w:cs="Times New Roman"/>
          <w:sz w:val="28"/>
          <w:szCs w:val="28"/>
          <w:lang w:eastAsia="ru-RU"/>
        </w:rPr>
        <w:t xml:space="preserve">администрации </w:t>
      </w:r>
      <w:proofErr w:type="gramStart"/>
      <w:r w:rsidRPr="00EC20F8">
        <w:rPr>
          <w:rFonts w:ascii="Times New Roman" w:hAnsi="Times New Roman" w:cs="Times New Roman"/>
          <w:sz w:val="28"/>
          <w:szCs w:val="28"/>
          <w:lang w:eastAsia="ru-RU"/>
        </w:rPr>
        <w:t>Петропавловск-Камчатского</w:t>
      </w:r>
      <w:proofErr w:type="gramEnd"/>
      <w:r w:rsidRPr="00EC20F8">
        <w:rPr>
          <w:rFonts w:ascii="Times New Roman" w:hAnsi="Times New Roman" w:cs="Times New Roman"/>
          <w:sz w:val="28"/>
          <w:szCs w:val="28"/>
          <w:lang w:eastAsia="ru-RU"/>
        </w:rPr>
        <w:t xml:space="preserve"> городского округа</w:t>
      </w:r>
      <w:r w:rsidRPr="00EC20F8">
        <w:rPr>
          <w:rFonts w:ascii="Times New Roman" w:eastAsia="Calibri" w:hAnsi="Times New Roman" w:cs="Times New Roman"/>
          <w:sz w:val="28"/>
          <w:szCs w:val="28"/>
        </w:rPr>
        <w:t xml:space="preserve"> выдано:</w:t>
      </w:r>
    </w:p>
    <w:p w:rsidR="00905D0F" w:rsidRPr="00EC20F8" w:rsidRDefault="00905D0F" w:rsidP="00905D0F">
      <w:pPr>
        <w:ind w:firstLine="708"/>
        <w:jc w:val="both"/>
        <w:rPr>
          <w:rFonts w:ascii="Times New Roman" w:eastAsia="Times New Roman" w:hAnsi="Times New Roman" w:cs="Times New Roman"/>
          <w:sz w:val="28"/>
          <w:szCs w:val="28"/>
          <w:lang w:eastAsia="ru-RU"/>
        </w:rPr>
      </w:pPr>
      <w:r w:rsidRPr="00EC20F8">
        <w:rPr>
          <w:rFonts w:ascii="Times New Roman" w:eastAsia="Calibri" w:hAnsi="Times New Roman" w:cs="Times New Roman"/>
          <w:sz w:val="28"/>
          <w:szCs w:val="28"/>
        </w:rPr>
        <w:t>- 168 разрешений на строительство</w:t>
      </w:r>
      <w:r w:rsidRPr="00EC20F8">
        <w:rPr>
          <w:rFonts w:ascii="Times New Roman" w:eastAsia="Times New Roman" w:hAnsi="Times New Roman" w:cs="Times New Roman"/>
          <w:sz w:val="28"/>
          <w:szCs w:val="28"/>
          <w:lang w:eastAsia="ru-RU"/>
        </w:rPr>
        <w:t>;</w:t>
      </w:r>
    </w:p>
    <w:p w:rsidR="00905D0F" w:rsidRPr="00EC20F8" w:rsidRDefault="00905D0F" w:rsidP="00905D0F">
      <w:pPr>
        <w:spacing w:line="240" w:lineRule="auto"/>
        <w:ind w:firstLine="709"/>
        <w:jc w:val="both"/>
        <w:rPr>
          <w:rFonts w:ascii="Times New Roman" w:eastAsia="Times New Roman" w:hAnsi="Times New Roman" w:cs="Times New Roman"/>
          <w:sz w:val="28"/>
          <w:szCs w:val="28"/>
          <w:lang w:eastAsia="ru-RU"/>
        </w:rPr>
      </w:pPr>
      <w:proofErr w:type="gramStart"/>
      <w:r w:rsidRPr="00EC20F8">
        <w:rPr>
          <w:rFonts w:ascii="Times New Roman" w:eastAsia="Times New Roman" w:hAnsi="Times New Roman" w:cs="Times New Roman"/>
          <w:sz w:val="28"/>
          <w:szCs w:val="28"/>
          <w:lang w:eastAsia="ru-RU"/>
        </w:rPr>
        <w:t xml:space="preserve">- 70 разрешений на ввод объектов в эксплуатацию, из них: 45 объектов общественного назначения и инженерной инфраструктуры; 5 объектов по программе </w:t>
      </w:r>
      <w:proofErr w:type="spellStart"/>
      <w:r w:rsidRPr="00EC20F8">
        <w:rPr>
          <w:rFonts w:ascii="Times New Roman" w:eastAsia="Times New Roman" w:hAnsi="Times New Roman" w:cs="Times New Roman"/>
          <w:sz w:val="28"/>
          <w:szCs w:val="28"/>
          <w:lang w:eastAsia="ru-RU"/>
        </w:rPr>
        <w:t>сейсмоусиления</w:t>
      </w:r>
      <w:proofErr w:type="spellEnd"/>
      <w:r w:rsidRPr="00EC20F8">
        <w:rPr>
          <w:rFonts w:ascii="Times New Roman" w:eastAsia="Times New Roman" w:hAnsi="Times New Roman" w:cs="Times New Roman"/>
          <w:sz w:val="28"/>
          <w:szCs w:val="28"/>
          <w:lang w:eastAsia="ru-RU"/>
        </w:rPr>
        <w:t>; 20 на ввод объектов в эксплуатацию жилого назначения общей площадью 45 699,39 кв. метров, (13 на ввод в эксплуатацию многоквартирных жилых домов общей площадью 43 645,57 кв. метров;</w:t>
      </w:r>
      <w:proofErr w:type="gramEnd"/>
      <w:r w:rsidRPr="00EC20F8">
        <w:rPr>
          <w:rFonts w:ascii="Times New Roman" w:eastAsia="Times New Roman" w:hAnsi="Times New Roman" w:cs="Times New Roman"/>
          <w:sz w:val="28"/>
          <w:szCs w:val="28"/>
          <w:lang w:eastAsia="ru-RU"/>
        </w:rPr>
        <w:t xml:space="preserve"> </w:t>
      </w:r>
      <w:proofErr w:type="gramStart"/>
      <w:r w:rsidRPr="00EC20F8">
        <w:rPr>
          <w:rFonts w:ascii="Times New Roman" w:eastAsia="Times New Roman" w:hAnsi="Times New Roman" w:cs="Times New Roman"/>
          <w:sz w:val="28"/>
          <w:szCs w:val="28"/>
          <w:lang w:eastAsia="ru-RU"/>
        </w:rPr>
        <w:t>7 малоэтажных жилых домов общей площадью 2 053,8 кв. метров).</w:t>
      </w:r>
      <w:proofErr w:type="gramEnd"/>
    </w:p>
    <w:p w:rsidR="00905D0F" w:rsidRPr="00EC20F8" w:rsidRDefault="00905D0F" w:rsidP="00905D0F">
      <w:pPr>
        <w:spacing w:line="240" w:lineRule="auto"/>
        <w:ind w:firstLine="708"/>
        <w:jc w:val="both"/>
        <w:rPr>
          <w:rFonts w:ascii="Times New Roman" w:hAnsi="Times New Roman" w:cs="Times New Roman"/>
          <w:sz w:val="28"/>
          <w:szCs w:val="28"/>
        </w:rPr>
      </w:pPr>
      <w:r w:rsidRPr="00EC20F8">
        <w:rPr>
          <w:rFonts w:ascii="Times New Roman" w:eastAsia="Calibri" w:hAnsi="Times New Roman" w:cs="Times New Roman"/>
          <w:sz w:val="28"/>
          <w:szCs w:val="28"/>
        </w:rPr>
        <w:t xml:space="preserve">По состоянию на 01.07.2014 выдано 73 разрешения на строительство и 25 разрешений на ввод объектов в эксплуатацию. В 2014 году планируется выдать 170 разрешений на строительство объектов жилищного строительства, общественного назначения и инженерной инфраструктуры.  </w:t>
      </w:r>
    </w:p>
    <w:p w:rsidR="00905D0F" w:rsidRPr="00EC20F8" w:rsidRDefault="00905D0F" w:rsidP="00905D0F">
      <w:pPr>
        <w:ind w:firstLine="539"/>
        <w:jc w:val="both"/>
        <w:rPr>
          <w:rFonts w:ascii="Times New Roman" w:hAnsi="Times New Roman" w:cs="Times New Roman"/>
          <w:sz w:val="28"/>
          <w:szCs w:val="28"/>
        </w:rPr>
      </w:pPr>
      <w:proofErr w:type="gramStart"/>
      <w:r w:rsidRPr="00EC20F8">
        <w:rPr>
          <w:rFonts w:ascii="Times New Roman" w:hAnsi="Times New Roman" w:cs="Times New Roman"/>
          <w:sz w:val="28"/>
          <w:szCs w:val="28"/>
        </w:rPr>
        <w:t>В соответствии с законом Камчатского края от 22.11.2010 № 506                 «О распоряжении земельными участками, государственная собственность на которые не разграничена, в административном центре Камчатского края - городе краевого подчинения Петропавловске-Камчатском» распоряжение земельными участками в Петропавловске-Камчатском, если иное не предусмотрено законодательством Российской Федерации об автомобильных дорогах и о дорожной деятельности, осуществляется Министерством имущественных и земельных отношений Камчатского края.</w:t>
      </w:r>
      <w:bookmarkEnd w:id="53"/>
      <w:bookmarkEnd w:id="54"/>
      <w:proofErr w:type="gramEnd"/>
    </w:p>
    <w:p w:rsidR="00905D0F" w:rsidRPr="00EC20F8" w:rsidRDefault="00905D0F" w:rsidP="00905D0F">
      <w:pPr>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По данным Министерства имущественных и земельных отношений Камчатского края, общая площадь земельных участков,  государственная собственность на которые не разграничена, расположенных на территории городского округа, предоставленных для целей строительства, в 2013 году составила 448,315 тыс. кв. метров (145 участков), в том числе предоставлены: под жилищное строительство многоквартирных домов 13 земельных участков общей площадью 104,030 тыс. кв. метров;</w:t>
      </w:r>
      <w:proofErr w:type="gramEnd"/>
      <w:r w:rsidRPr="00EC20F8">
        <w:rPr>
          <w:rFonts w:ascii="Times New Roman" w:hAnsi="Times New Roman" w:cs="Times New Roman"/>
          <w:sz w:val="28"/>
          <w:szCs w:val="28"/>
        </w:rPr>
        <w:t xml:space="preserve"> </w:t>
      </w:r>
      <w:proofErr w:type="gramStart"/>
      <w:r w:rsidRPr="00EC20F8">
        <w:rPr>
          <w:rFonts w:ascii="Times New Roman" w:hAnsi="Times New Roman" w:cs="Times New Roman"/>
          <w:sz w:val="28"/>
          <w:szCs w:val="28"/>
        </w:rPr>
        <w:t>под индивидуальное жилищное строительство 46 земельных участков общей площадью 41,618 тыс. кв. метров, из них для многодетных семей 24 земельных участков общей площадью 21,597 тыс. кв. метров; 1 земельный участок площадью 12,909 под промышленный объект; под объекты торговли 12 земельных участков общей площадью 50,137 тыс. кв. метров;</w:t>
      </w:r>
      <w:proofErr w:type="gramEnd"/>
      <w:r w:rsidRPr="00EC20F8">
        <w:rPr>
          <w:rFonts w:ascii="Times New Roman" w:hAnsi="Times New Roman" w:cs="Times New Roman"/>
          <w:sz w:val="28"/>
          <w:szCs w:val="28"/>
        </w:rPr>
        <w:t xml:space="preserve"> на иные цели 49 земельных участков общей площадью 218,024 тыс. кв. метров.</w:t>
      </w:r>
    </w:p>
    <w:p w:rsidR="00905D0F" w:rsidRPr="00EC20F8" w:rsidRDefault="00905D0F" w:rsidP="00905D0F">
      <w:pPr>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По состоянию на 01.08.2014 предоставлены 34 участка общей площадью 76,947 тыс. кв. метров для: жилищного строительства многоквартирного жилого дома площадью  2,702 тыс. кв. метров; индивидуального жилищного строительства 16 участков общей площадью 19,873 тыс. кв. метров (в том числе 7 участков для многодетных семей общей площадью 12,048 тыс. кв. метров);</w:t>
      </w:r>
      <w:proofErr w:type="gramEnd"/>
      <w:r w:rsidRPr="00EC20F8">
        <w:rPr>
          <w:rFonts w:ascii="Times New Roman" w:hAnsi="Times New Roman" w:cs="Times New Roman"/>
          <w:sz w:val="28"/>
          <w:szCs w:val="28"/>
        </w:rPr>
        <w:t xml:space="preserve"> строительства объекта торговли площадью 0,620 тыс. кв. метров; иных целей 9 земельных участков общей площадью 41,704 тыс. кв. метров.</w:t>
      </w:r>
    </w:p>
    <w:p w:rsidR="00905D0F" w:rsidRPr="00EC20F8" w:rsidRDefault="00905D0F" w:rsidP="00905D0F">
      <w:pPr>
        <w:ind w:firstLine="709"/>
        <w:jc w:val="both"/>
        <w:rPr>
          <w:rFonts w:ascii="Times New Roman" w:hAnsi="Times New Roman" w:cs="Times New Roman"/>
          <w:sz w:val="28"/>
          <w:szCs w:val="28"/>
        </w:rPr>
      </w:pPr>
      <w:r w:rsidRPr="00EC20F8">
        <w:rPr>
          <w:rFonts w:ascii="Times New Roman" w:hAnsi="Times New Roman" w:cs="Times New Roman"/>
          <w:sz w:val="28"/>
          <w:szCs w:val="28"/>
        </w:rPr>
        <w:t>Наиболее крупные земельные участки, предоставленные в 2013 и 2014 годах:</w:t>
      </w:r>
    </w:p>
    <w:p w:rsidR="00905D0F" w:rsidRPr="00EC20F8" w:rsidRDefault="00905D0F" w:rsidP="00905D0F">
      <w:pPr>
        <w:ind w:firstLine="709"/>
        <w:jc w:val="both"/>
        <w:rPr>
          <w:rFonts w:ascii="Times New Roman" w:hAnsi="Times New Roman" w:cs="Times New Roman"/>
          <w:sz w:val="28"/>
          <w:szCs w:val="28"/>
        </w:rPr>
      </w:pPr>
      <w:r w:rsidRPr="00EC20F8">
        <w:rPr>
          <w:rFonts w:ascii="Times New Roman" w:hAnsi="Times New Roman" w:cs="Times New Roman"/>
          <w:sz w:val="28"/>
          <w:szCs w:val="28"/>
        </w:rPr>
        <w:t>- для строительства двух многоквартирных жилых домов площадью 29,926 тыс. кв. метров (кадастровый номер земельного участка 41:01:0010116:10802) и 27,293 тыс. кв. метров (41:01:0010116:10820);</w:t>
      </w:r>
    </w:p>
    <w:p w:rsidR="00905D0F" w:rsidRPr="00EC20F8" w:rsidRDefault="00905D0F" w:rsidP="00905D0F">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для строительства зданий и сооружений гостиничного комплекса на 350 мест площадью 19,513 тыс. кв. метров по ул. </w:t>
      </w:r>
      <w:proofErr w:type="spellStart"/>
      <w:r w:rsidRPr="00EC20F8">
        <w:rPr>
          <w:rFonts w:ascii="Times New Roman" w:hAnsi="Times New Roman" w:cs="Times New Roman"/>
          <w:sz w:val="28"/>
          <w:szCs w:val="28"/>
        </w:rPr>
        <w:t>Кавказкая</w:t>
      </w:r>
      <w:proofErr w:type="spellEnd"/>
      <w:r w:rsidRPr="00EC20F8">
        <w:rPr>
          <w:rFonts w:ascii="Times New Roman" w:hAnsi="Times New Roman" w:cs="Times New Roman"/>
          <w:sz w:val="28"/>
          <w:szCs w:val="28"/>
        </w:rPr>
        <w:t>, д.17 (41:01:0010114:3618);</w:t>
      </w:r>
    </w:p>
    <w:p w:rsidR="00905D0F" w:rsidRPr="00EC20F8" w:rsidRDefault="00905D0F" w:rsidP="00905D0F">
      <w:pPr>
        <w:ind w:firstLine="709"/>
        <w:jc w:val="both"/>
        <w:rPr>
          <w:rFonts w:ascii="Times New Roman" w:hAnsi="Times New Roman" w:cs="Times New Roman"/>
          <w:sz w:val="28"/>
          <w:szCs w:val="28"/>
        </w:rPr>
      </w:pPr>
      <w:r w:rsidRPr="00EC20F8">
        <w:rPr>
          <w:rFonts w:ascii="Times New Roman" w:hAnsi="Times New Roman" w:cs="Times New Roman"/>
          <w:sz w:val="28"/>
          <w:szCs w:val="28"/>
        </w:rPr>
        <w:t>- для строительства здания детского сада на 320 мест площадью 15,588 тыс. кв. метров ул. Топоркова (41:01:0010116:14489);</w:t>
      </w:r>
    </w:p>
    <w:p w:rsidR="00905D0F" w:rsidRPr="00EC20F8" w:rsidRDefault="00905D0F" w:rsidP="00905D0F">
      <w:pPr>
        <w:ind w:firstLine="709"/>
        <w:jc w:val="both"/>
        <w:rPr>
          <w:rFonts w:ascii="Times New Roman" w:hAnsi="Times New Roman" w:cs="Times New Roman"/>
          <w:sz w:val="28"/>
          <w:szCs w:val="28"/>
        </w:rPr>
      </w:pPr>
      <w:r w:rsidRPr="00EC20F8">
        <w:rPr>
          <w:rFonts w:ascii="Times New Roman" w:hAnsi="Times New Roman" w:cs="Times New Roman"/>
          <w:sz w:val="28"/>
          <w:szCs w:val="28"/>
        </w:rPr>
        <w:t>- для строительства базы хранения материалов, в том числе жилищно-эксплуатационной службы площадью 13,150 тыс. кв. метров (41:01:0000000:1066);</w:t>
      </w:r>
    </w:p>
    <w:p w:rsidR="00905D0F" w:rsidRPr="00EC20F8" w:rsidRDefault="00905D0F" w:rsidP="00905D0F">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для строительства зданий и сооружений </w:t>
      </w:r>
      <w:proofErr w:type="spellStart"/>
      <w:r w:rsidRPr="00EC20F8">
        <w:rPr>
          <w:rFonts w:ascii="Times New Roman" w:hAnsi="Times New Roman" w:cs="Times New Roman"/>
          <w:sz w:val="28"/>
          <w:szCs w:val="28"/>
        </w:rPr>
        <w:t>логистического</w:t>
      </w:r>
      <w:proofErr w:type="spellEnd"/>
      <w:r w:rsidRPr="00EC20F8">
        <w:rPr>
          <w:rFonts w:ascii="Times New Roman" w:hAnsi="Times New Roman" w:cs="Times New Roman"/>
          <w:sz w:val="28"/>
          <w:szCs w:val="28"/>
        </w:rPr>
        <w:t xml:space="preserve"> центра площадью 5,167 тыс. кв. метров по ул. Академика Королева (41:01:0010119:8050).</w:t>
      </w:r>
    </w:p>
    <w:p w:rsidR="00905D0F" w:rsidRPr="00EC20F8" w:rsidRDefault="00905D0F" w:rsidP="00905D0F">
      <w:pPr>
        <w:spacing w:line="240" w:lineRule="auto"/>
        <w:ind w:firstLine="709"/>
        <w:jc w:val="both"/>
        <w:rPr>
          <w:rFonts w:ascii="Times New Roman" w:eastAsia="Calibri" w:hAnsi="Times New Roman" w:cs="Times New Roman"/>
          <w:sz w:val="28"/>
          <w:szCs w:val="28"/>
        </w:rPr>
      </w:pPr>
      <w:proofErr w:type="gramStart"/>
      <w:r w:rsidRPr="00EC20F8">
        <w:rPr>
          <w:rFonts w:ascii="Times New Roman" w:eastAsia="Calibri" w:hAnsi="Times New Roman" w:cs="Times New Roman"/>
          <w:sz w:val="28"/>
          <w:szCs w:val="28"/>
        </w:rPr>
        <w:t>В отношении предоставления земельных участ</w:t>
      </w:r>
      <w:r w:rsidRPr="00EC20F8">
        <w:rPr>
          <w:rFonts w:ascii="Times New Roman" w:hAnsi="Times New Roman" w:cs="Times New Roman"/>
          <w:sz w:val="28"/>
          <w:szCs w:val="28"/>
        </w:rPr>
        <w:t xml:space="preserve">ков на территории </w:t>
      </w:r>
      <w:r w:rsidRPr="00EC20F8">
        <w:rPr>
          <w:rFonts w:ascii="Times New Roman" w:eastAsia="Calibri" w:hAnsi="Times New Roman" w:cs="Times New Roman"/>
          <w:sz w:val="28"/>
          <w:szCs w:val="28"/>
        </w:rPr>
        <w:t>городского окр</w:t>
      </w:r>
      <w:r w:rsidRPr="00EC20F8">
        <w:rPr>
          <w:rFonts w:ascii="Times New Roman" w:hAnsi="Times New Roman" w:cs="Times New Roman"/>
          <w:sz w:val="28"/>
          <w:szCs w:val="28"/>
        </w:rPr>
        <w:t>уга для строительства  Министерство имущественных и земельных отношений Камчатского края, и</w:t>
      </w:r>
      <w:r w:rsidRPr="00EC20F8">
        <w:rPr>
          <w:rFonts w:ascii="Times New Roman" w:eastAsia="Calibri" w:hAnsi="Times New Roman" w:cs="Times New Roman"/>
          <w:sz w:val="28"/>
          <w:szCs w:val="28"/>
        </w:rPr>
        <w:t xml:space="preserve">сходя из анализа количества обращений о предоставлении земельных участков для строительства, поступающих в Министерство, </w:t>
      </w:r>
      <w:r w:rsidRPr="00EC20F8">
        <w:rPr>
          <w:rFonts w:ascii="Times New Roman" w:hAnsi="Times New Roman" w:cs="Times New Roman"/>
          <w:sz w:val="28"/>
          <w:szCs w:val="28"/>
        </w:rPr>
        <w:t>с учетом того факта</w:t>
      </w:r>
      <w:r w:rsidRPr="00EC20F8">
        <w:rPr>
          <w:rFonts w:ascii="Times New Roman" w:eastAsia="Calibri" w:hAnsi="Times New Roman" w:cs="Times New Roman"/>
          <w:sz w:val="28"/>
          <w:szCs w:val="28"/>
        </w:rPr>
        <w:t xml:space="preserve">, что предоставление земельных участков осуществляется на основании заявлений,  предполагаемый объем предоставленных земельных участков </w:t>
      </w:r>
      <w:r w:rsidRPr="00EC20F8">
        <w:rPr>
          <w:rFonts w:ascii="Times New Roman" w:hAnsi="Times New Roman" w:cs="Times New Roman"/>
          <w:sz w:val="28"/>
          <w:szCs w:val="28"/>
        </w:rPr>
        <w:t>в период с 01 августа 2014 года</w:t>
      </w:r>
      <w:r w:rsidRPr="00EC20F8">
        <w:rPr>
          <w:rFonts w:ascii="Times New Roman" w:eastAsia="Calibri" w:hAnsi="Times New Roman" w:cs="Times New Roman"/>
          <w:sz w:val="28"/>
          <w:szCs w:val="28"/>
        </w:rPr>
        <w:t xml:space="preserve"> по конец 2014 года</w:t>
      </w:r>
      <w:proofErr w:type="gramEnd"/>
      <w:r w:rsidRPr="00EC20F8">
        <w:rPr>
          <w:rFonts w:ascii="Times New Roman" w:hAnsi="Times New Roman" w:cs="Times New Roman"/>
          <w:sz w:val="28"/>
          <w:szCs w:val="28"/>
        </w:rPr>
        <w:t xml:space="preserve"> оценивает в пределах</w:t>
      </w:r>
      <w:r w:rsidRPr="00EC20F8">
        <w:rPr>
          <w:rFonts w:ascii="Times New Roman" w:eastAsia="Calibri" w:hAnsi="Times New Roman" w:cs="Times New Roman"/>
          <w:sz w:val="28"/>
          <w:szCs w:val="28"/>
        </w:rPr>
        <w:t xml:space="preserve"> 69 земельных участков общей площадью 574,001  </w:t>
      </w:r>
      <w:r w:rsidRPr="00EC20F8">
        <w:rPr>
          <w:rFonts w:ascii="Times New Roman" w:hAnsi="Times New Roman" w:cs="Times New Roman"/>
          <w:sz w:val="28"/>
          <w:szCs w:val="28"/>
        </w:rPr>
        <w:t>тыс. кв. метров</w:t>
      </w:r>
      <w:r w:rsidRPr="00EC20F8">
        <w:rPr>
          <w:rFonts w:ascii="Times New Roman" w:eastAsia="Calibri" w:hAnsi="Times New Roman" w:cs="Times New Roman"/>
          <w:sz w:val="28"/>
          <w:szCs w:val="28"/>
        </w:rPr>
        <w:t>, в том числе:</w:t>
      </w:r>
    </w:p>
    <w:p w:rsidR="00905D0F" w:rsidRPr="00EC20F8" w:rsidRDefault="00905D0F" w:rsidP="00905D0F">
      <w:pPr>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- 5 земельных участков под жилищное строительство многоквартирных жилых домов площадью 125,398 тыс. кв. метров;</w:t>
      </w:r>
    </w:p>
    <w:p w:rsidR="00905D0F" w:rsidRPr="00EC20F8" w:rsidRDefault="00905D0F" w:rsidP="00905D0F">
      <w:pPr>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- 36 земельных участков под индивидуальное жилищное строительство площадью 33,661 тыс. кв. метров, в том числе 4 участка для многодетных семей площадью 3,9 тыс. кв. метров;</w:t>
      </w:r>
    </w:p>
    <w:p w:rsidR="00905D0F" w:rsidRPr="00EC20F8" w:rsidRDefault="00905D0F" w:rsidP="00905D0F">
      <w:pPr>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- 2 земельных участка под комплексное освоение в целях жилищного строительства площадью 364,672 тыс. кв. метров;</w:t>
      </w:r>
    </w:p>
    <w:p w:rsidR="00905D0F" w:rsidRPr="00EC20F8" w:rsidRDefault="00905D0F" w:rsidP="00905D0F">
      <w:pPr>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- 2 объекта торговли площадью 13,661 тыс. кв. метров;</w:t>
      </w:r>
    </w:p>
    <w:p w:rsidR="00905D0F" w:rsidRPr="00EC20F8" w:rsidRDefault="00905D0F" w:rsidP="00905D0F">
      <w:pPr>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- 20 участков для иных целей площадью 32,709 тыс. кв. метров.</w:t>
      </w:r>
    </w:p>
    <w:p w:rsidR="00905D0F" w:rsidRPr="00EC20F8" w:rsidRDefault="007A2F15" w:rsidP="00000DA1">
      <w:pPr>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b/>
          <w:i/>
          <w:sz w:val="28"/>
          <w:szCs w:val="28"/>
        </w:rPr>
        <w:t>На 2015-2017 годы</w:t>
      </w:r>
      <w:r w:rsidRPr="00EC20F8">
        <w:rPr>
          <w:rFonts w:ascii="Times New Roman" w:hAnsi="Times New Roman" w:cs="Times New Roman"/>
          <w:b/>
          <w:sz w:val="28"/>
          <w:szCs w:val="28"/>
        </w:rPr>
        <w:t xml:space="preserve"> </w:t>
      </w:r>
      <w:r w:rsidRPr="00EC20F8">
        <w:rPr>
          <w:rFonts w:ascii="Times New Roman" w:hAnsi="Times New Roman" w:cs="Times New Roman"/>
          <w:sz w:val="28"/>
          <w:szCs w:val="28"/>
        </w:rPr>
        <w:t>политика администрации Петропавловск-Камчатского городского округа в сфере управления и распоряжения муниципальным имуществом, вовлеченным в земельные правоотношения</w:t>
      </w:r>
      <w:r w:rsidRPr="00EC20F8">
        <w:rPr>
          <w:rFonts w:ascii="Times New Roman" w:hAnsi="Times New Roman" w:cs="Times New Roman"/>
          <w:b/>
          <w:sz w:val="28"/>
          <w:szCs w:val="28"/>
        </w:rPr>
        <w:t xml:space="preserve"> </w:t>
      </w:r>
      <w:r w:rsidRPr="00EC20F8">
        <w:rPr>
          <w:rFonts w:ascii="Times New Roman" w:hAnsi="Times New Roman" w:cs="Times New Roman"/>
          <w:sz w:val="28"/>
          <w:szCs w:val="28"/>
        </w:rPr>
        <w:t xml:space="preserve">определена   </w:t>
      </w:r>
      <w:r w:rsidR="00000DA1" w:rsidRPr="00EC20F8">
        <w:rPr>
          <w:rFonts w:ascii="Times New Roman" w:hAnsi="Times New Roman" w:cs="Times New Roman"/>
          <w:sz w:val="28"/>
          <w:szCs w:val="28"/>
        </w:rPr>
        <w:t xml:space="preserve">муниципальной программы «Совершенствование системы муниципального управления </w:t>
      </w:r>
      <w:proofErr w:type="spellStart"/>
      <w:r w:rsidR="00000DA1" w:rsidRPr="00EC20F8">
        <w:rPr>
          <w:rFonts w:ascii="Times New Roman" w:hAnsi="Times New Roman" w:cs="Times New Roman"/>
          <w:sz w:val="28"/>
          <w:szCs w:val="28"/>
        </w:rPr>
        <w:t>Петропавловск-Ка</w:t>
      </w:r>
      <w:r w:rsidRPr="00EC20F8">
        <w:rPr>
          <w:rFonts w:ascii="Times New Roman" w:hAnsi="Times New Roman" w:cs="Times New Roman"/>
          <w:sz w:val="28"/>
          <w:szCs w:val="28"/>
        </w:rPr>
        <w:t>мчатским</w:t>
      </w:r>
      <w:proofErr w:type="spellEnd"/>
      <w:r w:rsidRPr="00EC20F8">
        <w:rPr>
          <w:rFonts w:ascii="Times New Roman" w:hAnsi="Times New Roman" w:cs="Times New Roman"/>
          <w:sz w:val="28"/>
          <w:szCs w:val="28"/>
        </w:rPr>
        <w:t xml:space="preserve"> городским округом»  (подпрограмма 2  </w:t>
      </w:r>
      <w:r w:rsidR="00000DA1" w:rsidRPr="00EC20F8">
        <w:rPr>
          <w:rFonts w:ascii="Times New Roman" w:hAnsi="Times New Roman" w:cs="Times New Roman"/>
          <w:sz w:val="28"/>
          <w:szCs w:val="28"/>
        </w:rPr>
        <w:t>«Управление и распоряжение муниципальным имуществом, вовлеченным в земельные правоотношения</w:t>
      </w:r>
      <w:r w:rsidRPr="00EC20F8">
        <w:rPr>
          <w:rFonts w:ascii="Times New Roman" w:hAnsi="Times New Roman" w:cs="Times New Roman"/>
          <w:sz w:val="28"/>
          <w:szCs w:val="28"/>
        </w:rPr>
        <w:t>»).</w:t>
      </w:r>
      <w:proofErr w:type="gramEnd"/>
    </w:p>
    <w:p w:rsidR="007A2F15" w:rsidRPr="00EC20F8" w:rsidRDefault="007A2F15" w:rsidP="007A2F15">
      <w:pPr>
        <w:tabs>
          <w:tab w:val="left" w:pos="2410"/>
        </w:tabs>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В рамках программы будет решаться задача: планирование использования земель городского округа, осуществление контроля за использованием по целевому назначению земельных участков и обеспечение осуществления обязанности собственников имущества по исполнению налогового законодательства.</w:t>
      </w:r>
      <w:proofErr w:type="gramEnd"/>
    </w:p>
    <w:p w:rsidR="007A2F15" w:rsidRPr="00EC20F8" w:rsidRDefault="007A2F15" w:rsidP="007A2F15">
      <w:pPr>
        <w:tabs>
          <w:tab w:val="left" w:pos="2410"/>
        </w:tabs>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Планируется выполнение специализированных работ по межеванию, кадастровым работам, оценке, охраны, </w:t>
      </w:r>
      <w:proofErr w:type="spellStart"/>
      <w:r w:rsidRPr="00EC20F8">
        <w:rPr>
          <w:rFonts w:ascii="Times New Roman" w:hAnsi="Times New Roman" w:cs="Times New Roman"/>
          <w:sz w:val="28"/>
          <w:szCs w:val="28"/>
        </w:rPr>
        <w:t>энергоаудиту</w:t>
      </w:r>
      <w:proofErr w:type="spellEnd"/>
      <w:r w:rsidRPr="00EC20F8">
        <w:rPr>
          <w:rFonts w:ascii="Times New Roman" w:hAnsi="Times New Roman" w:cs="Times New Roman"/>
          <w:sz w:val="28"/>
          <w:szCs w:val="28"/>
        </w:rPr>
        <w:t xml:space="preserve">, страхованию и другие работы в части земельных отношений, а также осуществление ликвидации движимого и недвижимого имущества. </w:t>
      </w:r>
    </w:p>
    <w:p w:rsidR="007A2F15" w:rsidRPr="00EC20F8" w:rsidRDefault="007A2F15" w:rsidP="007A2F15">
      <w:pPr>
        <w:tabs>
          <w:tab w:val="left" w:pos="2410"/>
        </w:tabs>
        <w:ind w:firstLine="709"/>
        <w:jc w:val="both"/>
        <w:rPr>
          <w:rFonts w:ascii="Times New Roman" w:hAnsi="Times New Roman" w:cs="Times New Roman"/>
          <w:sz w:val="28"/>
          <w:szCs w:val="28"/>
        </w:rPr>
      </w:pPr>
      <w:r w:rsidRPr="00EC20F8">
        <w:rPr>
          <w:rFonts w:ascii="Times New Roman" w:hAnsi="Times New Roman" w:cs="Times New Roman"/>
          <w:sz w:val="28"/>
          <w:szCs w:val="28"/>
        </w:rPr>
        <w:t>Выполнение поставленной задачи обеспечит наполнение кадастра недвижимости сведениями о земельных участках, вовлечение в хозяйственный оборот неиспользуемых или используемых не по назначению земельных участков, находящихся в муниципальной собственности.</w:t>
      </w:r>
    </w:p>
    <w:p w:rsidR="00905D0F" w:rsidRPr="00EC20F8" w:rsidRDefault="00905D0F" w:rsidP="00905D0F">
      <w:pPr>
        <w:autoSpaceDE w:val="0"/>
        <w:autoSpaceDN w:val="0"/>
        <w:adjustRightInd w:val="0"/>
        <w:spacing w:line="240" w:lineRule="auto"/>
        <w:jc w:val="center"/>
        <w:outlineLvl w:val="0"/>
        <w:rPr>
          <w:rFonts w:ascii="Times New Roman" w:hAnsi="Times New Roman" w:cs="Times New Roman"/>
          <w:sz w:val="28"/>
          <w:szCs w:val="28"/>
        </w:rPr>
      </w:pPr>
      <w:bookmarkStart w:id="55" w:name="_Toc335475360"/>
      <w:bookmarkStart w:id="56" w:name="_Toc335475600"/>
      <w:bookmarkStart w:id="57" w:name="_Toc337642431"/>
      <w:bookmarkStart w:id="58" w:name="_Toc368930200"/>
      <w:bookmarkStart w:id="59" w:name="_Toc368930824"/>
      <w:bookmarkStart w:id="60" w:name="_Toc368988881"/>
      <w:bookmarkStart w:id="61" w:name="_Toc400529665"/>
      <w:r w:rsidRPr="00EC20F8">
        <w:rPr>
          <w:rFonts w:ascii="Times New Roman" w:hAnsi="Times New Roman" w:cs="Times New Roman"/>
          <w:sz w:val="28"/>
          <w:szCs w:val="28"/>
        </w:rPr>
        <w:t>4.4. Строительство</w:t>
      </w:r>
      <w:bookmarkEnd w:id="55"/>
      <w:bookmarkEnd w:id="56"/>
      <w:bookmarkEnd w:id="57"/>
      <w:bookmarkEnd w:id="58"/>
      <w:bookmarkEnd w:id="59"/>
      <w:bookmarkEnd w:id="60"/>
      <w:bookmarkEnd w:id="61"/>
    </w:p>
    <w:p w:rsidR="00905D0F" w:rsidRPr="00EC20F8" w:rsidRDefault="00905D0F" w:rsidP="00905D0F">
      <w:pPr>
        <w:tabs>
          <w:tab w:val="left" w:pos="851"/>
        </w:tabs>
        <w:ind w:firstLine="851"/>
        <w:jc w:val="both"/>
        <w:rPr>
          <w:rFonts w:ascii="Times New Roman" w:hAnsi="Times New Roman" w:cs="Times New Roman"/>
          <w:b/>
          <w:sz w:val="24"/>
          <w:szCs w:val="24"/>
          <w:highlight w:val="yellow"/>
        </w:rPr>
      </w:pPr>
    </w:p>
    <w:p w:rsidR="00905D0F" w:rsidRPr="00EC20F8" w:rsidRDefault="00905D0F" w:rsidP="00905D0F">
      <w:pPr>
        <w:ind w:firstLine="709"/>
        <w:jc w:val="both"/>
        <w:rPr>
          <w:rFonts w:ascii="Times New Roman" w:hAnsi="Times New Roman" w:cs="Times New Roman"/>
          <w:sz w:val="28"/>
          <w:szCs w:val="28"/>
        </w:rPr>
      </w:pPr>
      <w:r w:rsidRPr="00EC20F8">
        <w:rPr>
          <w:rFonts w:ascii="Times New Roman" w:eastAsia="Calibri" w:hAnsi="Times New Roman" w:cs="Times New Roman"/>
          <w:sz w:val="28"/>
          <w:szCs w:val="28"/>
        </w:rPr>
        <w:t>По итогам 2013 года наметились позитивные процессы в деятельности строительных организаций городского округа.</w:t>
      </w:r>
      <w:r w:rsidRPr="00EC20F8">
        <w:rPr>
          <w:rFonts w:eastAsia="Calibri"/>
        </w:rPr>
        <w:t xml:space="preserve"> </w:t>
      </w:r>
      <w:r w:rsidRPr="00EC20F8">
        <w:rPr>
          <w:rFonts w:ascii="Times New Roman" w:hAnsi="Times New Roman" w:cs="Times New Roman"/>
          <w:sz w:val="28"/>
          <w:szCs w:val="28"/>
        </w:rPr>
        <w:t xml:space="preserve">В 2013 году объем выполненных работ по виду деятельности «Строительство» составил 10 758,90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против 10 120,49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в 2012 году при индексе физического объема  109,6 %. В 2013 году на городской округ пришлось                   58,2 % всего объема работ, выполненных по виду деятельности «Строительство» в Камчатском крае.</w:t>
      </w:r>
    </w:p>
    <w:p w:rsidR="00905D0F" w:rsidRPr="00EC20F8" w:rsidRDefault="00905D0F" w:rsidP="00905D0F">
      <w:pPr>
        <w:tabs>
          <w:tab w:val="left" w:pos="851"/>
        </w:tabs>
        <w:ind w:firstLine="851"/>
        <w:jc w:val="both"/>
        <w:rPr>
          <w:rFonts w:ascii="Times New Roman" w:hAnsi="Times New Roman" w:cs="Times New Roman"/>
          <w:sz w:val="28"/>
          <w:szCs w:val="28"/>
          <w:highlight w:val="yellow"/>
        </w:rPr>
      </w:pPr>
      <w:r w:rsidRPr="00EC20F8">
        <w:rPr>
          <w:rFonts w:ascii="Times New Roman" w:hAnsi="Times New Roman" w:cs="Times New Roman"/>
          <w:sz w:val="28"/>
          <w:szCs w:val="28"/>
        </w:rPr>
        <w:t xml:space="preserve">Ключевую роль в сфере строительства играет частный капитал – на него долю пришлось 89,8 % всех работ, выполненных по виду деятельности «Строительство» (против 92,0  % в 2011 году). </w:t>
      </w:r>
    </w:p>
    <w:p w:rsidR="00905D0F" w:rsidRPr="00EC20F8" w:rsidRDefault="00905D0F" w:rsidP="009A5AA2">
      <w:pPr>
        <w:tabs>
          <w:tab w:val="left" w:pos="540"/>
        </w:tabs>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В 2013 году введено в эксплуатацию 59 жилых домов общей площадью 57 654 кв. метров, что выше уровня 2012 года на 5,7 %.  На долю индивидуальных жилых домов, построенных населением за счет собственных и заемных средств, пришлось 20,3 % от общей площади введенного жилья. Всего построено 781 квартира. Вводились преимущественно одно- и двухкомнатные квартиры, 37 % и 39 % соответственно. Возросла средняя площадь вводимых квартир до 73,8 кв. метров, что выше уровня 2012 года на 9,7 %. Это свидетельствует о тенденции концентрации застройщиков на более дорогом жилье.</w:t>
      </w:r>
    </w:p>
    <w:p w:rsidR="00905D0F" w:rsidRPr="00EC20F8" w:rsidRDefault="00905D0F" w:rsidP="009A5AA2">
      <w:pPr>
        <w:tabs>
          <w:tab w:val="left" w:pos="851"/>
        </w:tabs>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По состоянию на 01.01.2014 обеспеченность населения жильем в городском округе составляет 24,0 квадратных метров на каждого жителя против 23,9 квадратных метров в 2012 году.</w:t>
      </w:r>
    </w:p>
    <w:p w:rsidR="00905D0F" w:rsidRPr="00EC20F8" w:rsidRDefault="00905D0F" w:rsidP="009A5AA2">
      <w:pPr>
        <w:spacing w:line="240" w:lineRule="auto"/>
        <w:ind w:firstLine="709"/>
        <w:jc w:val="both"/>
        <w:rPr>
          <w:rFonts w:ascii="Times New Roman" w:hAnsi="Times New Roman" w:cs="Times New Roman"/>
          <w:sz w:val="28"/>
          <w:szCs w:val="28"/>
        </w:rPr>
      </w:pPr>
      <w:proofErr w:type="gramStart"/>
      <w:r w:rsidRPr="00EC20F8">
        <w:rPr>
          <w:rFonts w:ascii="Times New Roman" w:eastAsia="Calibri" w:hAnsi="Times New Roman" w:cs="Times New Roman"/>
          <w:sz w:val="28"/>
          <w:szCs w:val="28"/>
        </w:rPr>
        <w:t xml:space="preserve">В 2013 году застройщиками в городском округе введены в эксплуатацию </w:t>
      </w:r>
      <w:r w:rsidRPr="00EC20F8">
        <w:rPr>
          <w:rFonts w:ascii="Times New Roman" w:hAnsi="Times New Roman" w:cs="Times New Roman"/>
          <w:sz w:val="28"/>
          <w:szCs w:val="28"/>
        </w:rPr>
        <w:t xml:space="preserve">объекты производственного назначения и социально-культурной сферы: новые автомобильные дороги с твердым покрытием протяженностью 1,2 км, водоводы протяженностью 1,6 км, торговые предприятия общей площадью 5,4 тыс. кв. метров, предприятия общественного питания на 75 посадочных мест, </w:t>
      </w:r>
      <w:proofErr w:type="spellStart"/>
      <w:r w:rsidRPr="00EC20F8">
        <w:rPr>
          <w:rFonts w:ascii="Times New Roman" w:hAnsi="Times New Roman" w:cs="Times New Roman"/>
          <w:sz w:val="28"/>
          <w:szCs w:val="28"/>
        </w:rPr>
        <w:t>общетоварные</w:t>
      </w:r>
      <w:proofErr w:type="spellEnd"/>
      <w:r w:rsidRPr="00EC20F8">
        <w:rPr>
          <w:rFonts w:ascii="Times New Roman" w:hAnsi="Times New Roman" w:cs="Times New Roman"/>
          <w:sz w:val="28"/>
          <w:szCs w:val="28"/>
        </w:rPr>
        <w:t xml:space="preserve"> склады  3,7 тыс. кв. метров общей площади, </w:t>
      </w:r>
      <w:proofErr w:type="spellStart"/>
      <w:r w:rsidRPr="00EC20F8">
        <w:rPr>
          <w:rFonts w:ascii="Times New Roman" w:hAnsi="Times New Roman" w:cs="Times New Roman"/>
          <w:sz w:val="28"/>
          <w:szCs w:val="28"/>
        </w:rPr>
        <w:t>автоцентр</w:t>
      </w:r>
      <w:proofErr w:type="spellEnd"/>
      <w:r w:rsidRPr="00EC20F8">
        <w:rPr>
          <w:rFonts w:ascii="Times New Roman" w:hAnsi="Times New Roman" w:cs="Times New Roman"/>
          <w:sz w:val="28"/>
          <w:szCs w:val="28"/>
        </w:rPr>
        <w:t xml:space="preserve"> площадью 667,0 кв. метров, автозаправочная станция и</w:t>
      </w:r>
      <w:proofErr w:type="gramEnd"/>
      <w:r w:rsidRPr="00EC20F8">
        <w:rPr>
          <w:rFonts w:ascii="Times New Roman" w:hAnsi="Times New Roman" w:cs="Times New Roman"/>
          <w:sz w:val="28"/>
          <w:szCs w:val="28"/>
        </w:rPr>
        <w:t xml:space="preserve"> культовое сооружение.</w:t>
      </w:r>
    </w:p>
    <w:p w:rsidR="00905D0F" w:rsidRPr="00EC20F8" w:rsidRDefault="00905D0F" w:rsidP="009A5AA2">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В статусе незавершенного строительства </w:t>
      </w:r>
      <w:proofErr w:type="gramStart"/>
      <w:r w:rsidRPr="00EC20F8">
        <w:rPr>
          <w:rFonts w:ascii="Times New Roman" w:hAnsi="Times New Roman" w:cs="Times New Roman"/>
          <w:sz w:val="28"/>
          <w:szCs w:val="28"/>
        </w:rPr>
        <w:t>на конец</w:t>
      </w:r>
      <w:proofErr w:type="gramEnd"/>
      <w:r w:rsidRPr="00EC20F8">
        <w:rPr>
          <w:rFonts w:ascii="Times New Roman" w:hAnsi="Times New Roman" w:cs="Times New Roman"/>
          <w:sz w:val="28"/>
          <w:szCs w:val="28"/>
        </w:rPr>
        <w:t xml:space="preserve"> 2013 года находились жилые дома общей площадью 28 991 кв. метров, из них жилые дома общей площадью 11 671 кв. метров – приостановленное или законсервированное строительство. </w:t>
      </w:r>
    </w:p>
    <w:p w:rsidR="00905D0F" w:rsidRPr="00EC20F8" w:rsidRDefault="00905D0F" w:rsidP="009A5AA2">
      <w:pPr>
        <w:autoSpaceDE w:val="0"/>
        <w:autoSpaceDN w:val="0"/>
        <w:adjustRightInd w:val="0"/>
        <w:spacing w:line="240" w:lineRule="auto"/>
        <w:ind w:firstLine="709"/>
        <w:jc w:val="both"/>
        <w:rPr>
          <w:rFonts w:ascii="Times New Roman" w:eastAsia="Calibri" w:hAnsi="Times New Roman" w:cs="Times New Roman"/>
          <w:sz w:val="28"/>
          <w:szCs w:val="28"/>
        </w:rPr>
      </w:pPr>
      <w:proofErr w:type="gramStart"/>
      <w:r w:rsidRPr="00EC20F8">
        <w:rPr>
          <w:rFonts w:ascii="Times New Roman" w:eastAsia="Calibri" w:hAnsi="Times New Roman" w:cs="Times New Roman"/>
          <w:b/>
          <w:i/>
          <w:sz w:val="28"/>
          <w:szCs w:val="28"/>
        </w:rPr>
        <w:t>В 2014 году продолжается</w:t>
      </w:r>
      <w:r w:rsidRPr="00EC20F8">
        <w:rPr>
          <w:rFonts w:ascii="Times New Roman" w:eastAsia="Calibri" w:hAnsi="Times New Roman" w:cs="Times New Roman"/>
          <w:sz w:val="28"/>
          <w:szCs w:val="28"/>
        </w:rPr>
        <w:t xml:space="preserve"> строительство многоквартирных жилых домов в рамках реализации мероприятий ФЦП «Повышение устойчивости жилых домов, основных объектов и систем жизнеобеспечения в сейсмических районах Российской Федерации на 2009-2018 годы» - 1 и 2 этапов  второй очереди  микрорайона жилой застройки в районе Северо-восточного шоссе -  12 жилых домов на 540 квартир общей площадью 27,9 тыс. кв. метров,  ввод  в эксплуатацию которых  планируется</w:t>
      </w:r>
      <w:proofErr w:type="gramEnd"/>
      <w:r w:rsidRPr="00EC20F8">
        <w:rPr>
          <w:rFonts w:ascii="Times New Roman" w:eastAsia="Calibri" w:hAnsi="Times New Roman" w:cs="Times New Roman"/>
          <w:sz w:val="28"/>
          <w:szCs w:val="28"/>
        </w:rPr>
        <w:t xml:space="preserve"> в конце текущего года. </w:t>
      </w:r>
    </w:p>
    <w:p w:rsidR="00905D0F" w:rsidRPr="00EC20F8" w:rsidRDefault="00905D0F" w:rsidP="009A5AA2">
      <w:pPr>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Кроме того, в 2014 году осуществляются работы по строительству многоквартирных жилых домов 3 этапа в районе улицы Дальневосточной, в составе которого предусматривается 6 жилых дома на 353 квартиры общей площадью 18,0 тыс. кв</w:t>
      </w:r>
      <w:proofErr w:type="gramStart"/>
      <w:r w:rsidRPr="00EC20F8">
        <w:rPr>
          <w:rFonts w:ascii="Times New Roman" w:eastAsia="Calibri" w:hAnsi="Times New Roman" w:cs="Times New Roman"/>
          <w:sz w:val="28"/>
          <w:szCs w:val="28"/>
        </w:rPr>
        <w:t>.м</w:t>
      </w:r>
      <w:proofErr w:type="gramEnd"/>
      <w:r w:rsidRPr="00EC20F8">
        <w:rPr>
          <w:rFonts w:ascii="Times New Roman" w:eastAsia="Calibri" w:hAnsi="Times New Roman" w:cs="Times New Roman"/>
          <w:sz w:val="28"/>
          <w:szCs w:val="28"/>
        </w:rPr>
        <w:t>, с вводом их в эксплуатацию в 2015 году.</w:t>
      </w:r>
    </w:p>
    <w:p w:rsidR="00905D0F" w:rsidRPr="00EC20F8" w:rsidRDefault="00905D0F" w:rsidP="00905D0F">
      <w:pPr>
        <w:ind w:firstLine="709"/>
        <w:jc w:val="both"/>
        <w:rPr>
          <w:rFonts w:ascii="Times New Roman" w:eastAsia="Times New Roman" w:hAnsi="Times New Roman" w:cs="Times New Roman"/>
          <w:sz w:val="28"/>
          <w:szCs w:val="28"/>
          <w:lang w:eastAsia="ru-RU"/>
        </w:rPr>
      </w:pPr>
      <w:r w:rsidRPr="00EC20F8">
        <w:rPr>
          <w:rFonts w:ascii="Times New Roman" w:hAnsi="Times New Roman" w:cs="Times New Roman"/>
          <w:sz w:val="28"/>
          <w:szCs w:val="28"/>
        </w:rPr>
        <w:t xml:space="preserve">Всего в 2014 - 2015 годах ожидается введение в эксплуатацию объектов жилищного строительства общей площадью 52,68 тыс. кв. метров. Объем выполненных работ по виду деятельности «Строительство» в 2014 году оценивается на уровне 11 590,56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w:t>
      </w:r>
      <w:r w:rsidRPr="00EC20F8">
        <w:rPr>
          <w:rFonts w:ascii="Times New Roman" w:eastAsia="Times New Roman" w:hAnsi="Times New Roman" w:cs="Times New Roman"/>
          <w:sz w:val="28"/>
          <w:szCs w:val="28"/>
          <w:lang w:eastAsia="ru-RU"/>
        </w:rPr>
        <w:t xml:space="preserve"> при индексе физического объема 105,0 %.</w:t>
      </w:r>
    </w:p>
    <w:p w:rsidR="00905D0F" w:rsidRPr="00EC20F8" w:rsidRDefault="00905D0F" w:rsidP="00905D0F">
      <w:pPr>
        <w:spacing w:line="240" w:lineRule="auto"/>
        <w:ind w:firstLine="709"/>
        <w:jc w:val="both"/>
        <w:rPr>
          <w:rFonts w:ascii="Times New Roman" w:hAnsi="Times New Roman" w:cs="Times New Roman"/>
          <w:sz w:val="28"/>
          <w:szCs w:val="28"/>
        </w:rPr>
      </w:pPr>
      <w:proofErr w:type="gramStart"/>
      <w:r w:rsidRPr="00EC20F8">
        <w:rPr>
          <w:rFonts w:ascii="Times New Roman" w:eastAsia="Times New Roman" w:hAnsi="Times New Roman" w:cs="Times New Roman"/>
          <w:b/>
          <w:bCs/>
          <w:i/>
          <w:sz w:val="28"/>
          <w:szCs w:val="28"/>
        </w:rPr>
        <w:t>В целях стимулирования развития жилищного строительства</w:t>
      </w:r>
      <w:r w:rsidRPr="00EC20F8">
        <w:rPr>
          <w:rFonts w:ascii="Times New Roman" w:eastAsia="Times New Roman" w:hAnsi="Times New Roman" w:cs="Times New Roman"/>
          <w:bCs/>
          <w:sz w:val="28"/>
          <w:szCs w:val="28"/>
        </w:rPr>
        <w:t xml:space="preserve"> </w:t>
      </w:r>
      <w:r w:rsidRPr="00EC20F8">
        <w:rPr>
          <w:rFonts w:ascii="Times New Roman" w:eastAsia="Times New Roman" w:hAnsi="Times New Roman" w:cs="Times New Roman"/>
          <w:b/>
          <w:bCs/>
          <w:i/>
          <w:sz w:val="28"/>
          <w:szCs w:val="28"/>
        </w:rPr>
        <w:t xml:space="preserve">в прогнозном периоде </w:t>
      </w:r>
      <w:r w:rsidRPr="00EC20F8">
        <w:rPr>
          <w:rFonts w:ascii="Times New Roman" w:eastAsia="Times New Roman" w:hAnsi="Times New Roman" w:cs="Times New Roman"/>
          <w:bCs/>
          <w:sz w:val="28"/>
          <w:szCs w:val="28"/>
        </w:rPr>
        <w:t xml:space="preserve">в рамках муниципальной программы </w:t>
      </w:r>
      <w:r w:rsidRPr="00EC20F8">
        <w:rPr>
          <w:rFonts w:ascii="Times New Roman" w:hAnsi="Times New Roman" w:cs="Times New Roman"/>
          <w:sz w:val="28"/>
          <w:szCs w:val="28"/>
        </w:rPr>
        <w:t>«Обеспечение доступным и комфортным жильем жителей городского округа» планируется  выполнение мероприятий по разработке проектов планировки территорий с проектами межевания:  жилой район «Зеленая роща», малоэтажная жилая застройка в районе улицы Дальняя, смешанная жилая застройка по улице Кутузова, часть жилого микрорайона «Моховая (115 квартал), смешанная жилая застройка по улице</w:t>
      </w:r>
      <w:proofErr w:type="gramEnd"/>
      <w:r w:rsidRPr="00EC20F8">
        <w:rPr>
          <w:rFonts w:ascii="Times New Roman" w:hAnsi="Times New Roman" w:cs="Times New Roman"/>
          <w:sz w:val="28"/>
          <w:szCs w:val="28"/>
        </w:rPr>
        <w:t xml:space="preserve"> </w:t>
      </w:r>
      <w:proofErr w:type="gramStart"/>
      <w:r w:rsidRPr="00EC20F8">
        <w:rPr>
          <w:rFonts w:ascii="Times New Roman" w:hAnsi="Times New Roman" w:cs="Times New Roman"/>
          <w:sz w:val="28"/>
          <w:szCs w:val="28"/>
        </w:rPr>
        <w:t>Молчанова, малоэтажная жилая застройка (в целях предоставления земельных участков семьям, имеющих трех и более детей) в районе улицы 2-я Шевченко, малоэтажная жилая застройка (в целях предоставления земельных участков семьям, имеющих трех и более детей) по шоссе Восточное, застройка по проспекту Циолковского, малоэтажная жилая зас</w:t>
      </w:r>
      <w:r w:rsidR="009A5AA2" w:rsidRPr="00EC20F8">
        <w:rPr>
          <w:rFonts w:ascii="Times New Roman" w:hAnsi="Times New Roman" w:cs="Times New Roman"/>
          <w:sz w:val="28"/>
          <w:szCs w:val="28"/>
        </w:rPr>
        <w:t xml:space="preserve">тройка в районе  улиц </w:t>
      </w:r>
      <w:proofErr w:type="spellStart"/>
      <w:r w:rsidR="009A5AA2" w:rsidRPr="00EC20F8">
        <w:rPr>
          <w:rFonts w:ascii="Times New Roman" w:hAnsi="Times New Roman" w:cs="Times New Roman"/>
          <w:sz w:val="28"/>
          <w:szCs w:val="28"/>
        </w:rPr>
        <w:t>Целинная-</w:t>
      </w:r>
      <w:r w:rsidRPr="00EC20F8">
        <w:rPr>
          <w:rFonts w:ascii="Times New Roman" w:hAnsi="Times New Roman" w:cs="Times New Roman"/>
          <w:sz w:val="28"/>
          <w:szCs w:val="28"/>
        </w:rPr>
        <w:t>Запарина</w:t>
      </w:r>
      <w:proofErr w:type="spellEnd"/>
      <w:r w:rsidRPr="00EC20F8">
        <w:rPr>
          <w:rFonts w:ascii="Times New Roman" w:hAnsi="Times New Roman" w:cs="Times New Roman"/>
          <w:sz w:val="28"/>
          <w:szCs w:val="28"/>
        </w:rPr>
        <w:t xml:space="preserve">. </w:t>
      </w:r>
      <w:proofErr w:type="gramEnd"/>
    </w:p>
    <w:p w:rsidR="00905D0F" w:rsidRPr="00EC20F8" w:rsidRDefault="00905D0F" w:rsidP="00905D0F">
      <w:pPr>
        <w:widowControl w:val="0"/>
        <w:autoSpaceDE w:val="0"/>
        <w:autoSpaceDN w:val="0"/>
        <w:adjustRightInd w:val="0"/>
        <w:spacing w:line="240" w:lineRule="auto"/>
        <w:ind w:firstLine="540"/>
        <w:jc w:val="both"/>
        <w:rPr>
          <w:rFonts w:ascii="Times New Roman" w:eastAsia="Times New Roman" w:hAnsi="Times New Roman" w:cs="Times New Roman"/>
          <w:sz w:val="28"/>
          <w:szCs w:val="28"/>
          <w:lang w:eastAsia="ru-RU"/>
        </w:rPr>
      </w:pPr>
      <w:r w:rsidRPr="00EC20F8">
        <w:rPr>
          <w:rFonts w:ascii="Times New Roman" w:eastAsia="Times New Roman" w:hAnsi="Times New Roman" w:cs="Times New Roman"/>
          <w:sz w:val="28"/>
          <w:szCs w:val="28"/>
          <w:lang w:eastAsia="ru-RU"/>
        </w:rPr>
        <w:t>В 2013 году были  проведены  аукционы  на  разработку документации  по планировке  территории  и заключены муниципальные контракты на разработку следующих проектов планировки территорий: смешанной жилой застройки по улице Кутузова; смешанной застройки по ул. Молчанова; жилого района «Зелёная роща»; малоэтажной жилой застройки (микрорайона) в жилом районе «Дальний»; часть  жилого района «Моховая» (115 квартал).</w:t>
      </w:r>
    </w:p>
    <w:p w:rsidR="00905D0F" w:rsidRPr="00EC20F8" w:rsidRDefault="00905D0F" w:rsidP="00905D0F">
      <w:pPr>
        <w:widowControl w:val="0"/>
        <w:autoSpaceDE w:val="0"/>
        <w:autoSpaceDN w:val="0"/>
        <w:adjustRightInd w:val="0"/>
        <w:spacing w:line="240" w:lineRule="auto"/>
        <w:ind w:firstLine="540"/>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В рамках указанной программы предусматривается комплекс мероприятий, направленных на обеспечение инженерной инфраструктурой перспективных площадок жилищного строительства таких как: микрорайон в 110 квартале (улица </w:t>
      </w:r>
      <w:proofErr w:type="spellStart"/>
      <w:r w:rsidRPr="00EC20F8">
        <w:rPr>
          <w:rFonts w:ascii="Times New Roman" w:hAnsi="Times New Roman" w:cs="Times New Roman"/>
          <w:sz w:val="28"/>
          <w:szCs w:val="28"/>
        </w:rPr>
        <w:t>Карбышева</w:t>
      </w:r>
      <w:proofErr w:type="spellEnd"/>
      <w:r w:rsidRPr="00EC20F8">
        <w:rPr>
          <w:rFonts w:ascii="Times New Roman" w:hAnsi="Times New Roman" w:cs="Times New Roman"/>
          <w:sz w:val="28"/>
          <w:szCs w:val="28"/>
        </w:rPr>
        <w:t xml:space="preserve">),  микрорайон в 115 квартале (улица Моховая), жилые микрорайоны по улице Дальневосточной, улице Пограничной,  улице Циолковского, в районе улиц Академика Королева и Академика </w:t>
      </w:r>
      <w:proofErr w:type="spellStart"/>
      <w:r w:rsidRPr="00EC20F8">
        <w:rPr>
          <w:rFonts w:ascii="Times New Roman" w:hAnsi="Times New Roman" w:cs="Times New Roman"/>
          <w:sz w:val="28"/>
          <w:szCs w:val="28"/>
        </w:rPr>
        <w:t>Карбышева</w:t>
      </w:r>
      <w:proofErr w:type="spellEnd"/>
      <w:r w:rsidRPr="00EC20F8">
        <w:rPr>
          <w:rFonts w:ascii="Times New Roman" w:hAnsi="Times New Roman" w:cs="Times New Roman"/>
          <w:sz w:val="28"/>
          <w:szCs w:val="28"/>
        </w:rPr>
        <w:t>, жилого микрорайона в Южном районе городского округа.</w:t>
      </w:r>
      <w:proofErr w:type="gramEnd"/>
      <w:r w:rsidRPr="00EC20F8">
        <w:rPr>
          <w:rFonts w:ascii="Times New Roman" w:hAnsi="Times New Roman" w:cs="Times New Roman"/>
          <w:sz w:val="28"/>
          <w:szCs w:val="28"/>
        </w:rPr>
        <w:t xml:space="preserve"> Обеспечение инженерной инфраструктурой 110  квартала (улица </w:t>
      </w:r>
      <w:proofErr w:type="spellStart"/>
      <w:r w:rsidRPr="00EC20F8">
        <w:rPr>
          <w:rFonts w:ascii="Times New Roman" w:hAnsi="Times New Roman" w:cs="Times New Roman"/>
          <w:sz w:val="28"/>
          <w:szCs w:val="28"/>
        </w:rPr>
        <w:t>Карбышева</w:t>
      </w:r>
      <w:proofErr w:type="spellEnd"/>
      <w:r w:rsidRPr="00EC20F8">
        <w:rPr>
          <w:rFonts w:ascii="Times New Roman" w:hAnsi="Times New Roman" w:cs="Times New Roman"/>
          <w:sz w:val="28"/>
          <w:szCs w:val="28"/>
        </w:rPr>
        <w:t>) даст возможность ввести  в эксплуатацию 72 573 квадратных метров общей площади  жилья  (1 196  квартир).</w:t>
      </w:r>
    </w:p>
    <w:p w:rsidR="00905D0F" w:rsidRPr="00EC20F8" w:rsidRDefault="00905D0F" w:rsidP="00905D0F">
      <w:pPr>
        <w:ind w:firstLine="708"/>
        <w:jc w:val="both"/>
        <w:rPr>
          <w:rFonts w:ascii="Times New Roman" w:eastAsia="Calibri" w:hAnsi="Times New Roman" w:cs="Times New Roman"/>
          <w:sz w:val="28"/>
          <w:szCs w:val="28"/>
        </w:rPr>
      </w:pPr>
      <w:proofErr w:type="gramStart"/>
      <w:r w:rsidRPr="00EC20F8">
        <w:rPr>
          <w:rFonts w:ascii="Times New Roman" w:eastAsia="Calibri" w:hAnsi="Times New Roman" w:cs="Times New Roman"/>
          <w:sz w:val="28"/>
          <w:szCs w:val="28"/>
        </w:rPr>
        <w:t xml:space="preserve">В прогнозном периоде, на основании выданных Департаментом градостроительства и земельных отношений </w:t>
      </w:r>
      <w:r w:rsidRPr="00EC20F8">
        <w:rPr>
          <w:rFonts w:ascii="Times New Roman" w:hAnsi="Times New Roman" w:cs="Times New Roman"/>
          <w:sz w:val="28"/>
          <w:szCs w:val="28"/>
          <w:lang w:eastAsia="ru-RU"/>
        </w:rPr>
        <w:t>администрации Петропавловск-Камчатского городского округа</w:t>
      </w:r>
      <w:r w:rsidRPr="00EC20F8">
        <w:rPr>
          <w:rFonts w:ascii="Times New Roman" w:eastAsia="Calibri" w:hAnsi="Times New Roman" w:cs="Times New Roman"/>
          <w:sz w:val="28"/>
          <w:szCs w:val="28"/>
        </w:rPr>
        <w:t xml:space="preserve"> в 2013 году и первом полугодии 2014 года разрешений, планируется строительство: </w:t>
      </w:r>
      <w:r w:rsidRPr="00EC20F8">
        <w:rPr>
          <w:rFonts w:ascii="Times New Roman" w:eastAsia="Times New Roman" w:hAnsi="Times New Roman" w:cs="Times New Roman"/>
          <w:sz w:val="28"/>
          <w:szCs w:val="28"/>
          <w:lang w:eastAsia="ru-RU"/>
        </w:rPr>
        <w:t>104 объектов  жилого назначения (28  многоквартирных жилых домов, 76 малоэтажных  жилых домов); 43  объекта  общественного назначения; 6 объектов спортивно-оздоровительного назначения;</w:t>
      </w:r>
      <w:proofErr w:type="gramEnd"/>
      <w:r w:rsidRPr="00EC20F8">
        <w:rPr>
          <w:rFonts w:ascii="Times New Roman" w:eastAsia="Times New Roman" w:hAnsi="Times New Roman" w:cs="Times New Roman"/>
          <w:sz w:val="28"/>
          <w:szCs w:val="28"/>
          <w:lang w:eastAsia="ru-RU"/>
        </w:rPr>
        <w:t xml:space="preserve"> 15 объектов промышленного назначения; 23 объекта  коммунального  назначения; 25 объектов  торгового  назначения; 25  объектов иного назначения. </w:t>
      </w:r>
    </w:p>
    <w:p w:rsidR="00905D0F" w:rsidRPr="00EC20F8" w:rsidRDefault="00905D0F" w:rsidP="00905D0F">
      <w:pPr>
        <w:ind w:firstLine="709"/>
        <w:jc w:val="both"/>
        <w:rPr>
          <w:rFonts w:ascii="Times New Roman" w:eastAsia="Calibri" w:hAnsi="Times New Roman" w:cs="Times New Roman"/>
          <w:sz w:val="28"/>
          <w:szCs w:val="28"/>
        </w:rPr>
      </w:pPr>
      <w:r w:rsidRPr="00EC20F8">
        <w:rPr>
          <w:rFonts w:ascii="Times New Roman" w:hAnsi="Times New Roman" w:cs="Times New Roman"/>
          <w:sz w:val="28"/>
          <w:szCs w:val="28"/>
        </w:rPr>
        <w:t xml:space="preserve">Прогнозируется, что в среднесрочном периоде объем выполненных работ по виду деятельности «Строительство» </w:t>
      </w:r>
      <w:r w:rsidRPr="00EC20F8">
        <w:rPr>
          <w:rFonts w:ascii="Times New Roman" w:eastAsia="Calibri" w:hAnsi="Times New Roman" w:cs="Times New Roman"/>
          <w:sz w:val="28"/>
          <w:szCs w:val="28"/>
        </w:rPr>
        <w:t>составит:</w:t>
      </w:r>
    </w:p>
    <w:p w:rsidR="00905D0F" w:rsidRPr="00EC20F8" w:rsidRDefault="00905D0F" w:rsidP="00905D0F">
      <w:pPr>
        <w:ind w:firstLine="709"/>
        <w:jc w:val="both"/>
        <w:rPr>
          <w:rFonts w:ascii="Times New Roman" w:hAnsi="Times New Roman" w:cs="Times New Roman"/>
          <w:sz w:val="28"/>
          <w:szCs w:val="28"/>
        </w:rPr>
      </w:pPr>
      <w:r w:rsidRPr="00EC20F8">
        <w:rPr>
          <w:rFonts w:ascii="Times New Roman" w:eastAsia="Calibri" w:hAnsi="Times New Roman" w:cs="Times New Roman"/>
          <w:sz w:val="28"/>
          <w:szCs w:val="28"/>
        </w:rPr>
        <w:t xml:space="preserve">- </w:t>
      </w:r>
      <w:r w:rsidRPr="00EC20F8">
        <w:rPr>
          <w:rFonts w:ascii="Times New Roman" w:hAnsi="Times New Roman" w:cs="Times New Roman"/>
          <w:sz w:val="28"/>
          <w:szCs w:val="28"/>
        </w:rPr>
        <w:t xml:space="preserve">по первому (консервативному)  варианту прогноза в 2015 году в сумме 11 837,87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в 2016 году – 11 728,49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в 2017 году – 11 656,62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Прогнозируется снижение </w:t>
      </w:r>
      <w:proofErr w:type="gramStart"/>
      <w:r w:rsidRPr="00EC20F8">
        <w:rPr>
          <w:rFonts w:ascii="Times New Roman" w:hAnsi="Times New Roman" w:cs="Times New Roman"/>
          <w:sz w:val="28"/>
          <w:szCs w:val="28"/>
        </w:rPr>
        <w:t>темпов роста объема выполненных строительных работ</w:t>
      </w:r>
      <w:proofErr w:type="gramEnd"/>
      <w:r w:rsidRPr="00EC20F8">
        <w:rPr>
          <w:rFonts w:ascii="Times New Roman" w:hAnsi="Times New Roman" w:cs="Times New Roman"/>
          <w:sz w:val="28"/>
          <w:szCs w:val="28"/>
        </w:rPr>
        <w:t>. Индекс физического объема составит по прогнозу 98,3 %, 95,27 % и 95,56 %, соответственно по годам.</w:t>
      </w:r>
    </w:p>
    <w:p w:rsidR="00905D0F" w:rsidRPr="00EC20F8" w:rsidRDefault="00905D0F" w:rsidP="00905D0F">
      <w:pPr>
        <w:ind w:firstLine="709"/>
        <w:jc w:val="both"/>
        <w:rPr>
          <w:rFonts w:ascii="Times New Roman" w:hAnsi="Times New Roman" w:cs="Times New Roman"/>
          <w:sz w:val="28"/>
          <w:szCs w:val="28"/>
        </w:rPr>
      </w:pPr>
      <w:r w:rsidRPr="00EC20F8">
        <w:rPr>
          <w:rFonts w:ascii="Times New Roman" w:eastAsia="Calibri" w:hAnsi="Times New Roman" w:cs="Times New Roman"/>
          <w:sz w:val="28"/>
          <w:szCs w:val="28"/>
        </w:rPr>
        <w:t xml:space="preserve">- </w:t>
      </w:r>
      <w:r w:rsidRPr="00EC20F8">
        <w:rPr>
          <w:rFonts w:ascii="Times New Roman" w:hAnsi="Times New Roman" w:cs="Times New Roman"/>
          <w:sz w:val="28"/>
          <w:szCs w:val="28"/>
        </w:rPr>
        <w:t xml:space="preserve">по второму варианту прогноза в 2015 году в сумме 12 224,36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в 2016 году – 12 891,84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в 2017 году – 13 724,21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Объема выполненных строительных работ ежегодно будет прирастать на 105,4-106,3 % в сопоставимой оценке.</w:t>
      </w:r>
    </w:p>
    <w:p w:rsidR="00511BAE" w:rsidRPr="00EC20F8" w:rsidRDefault="00511BAE" w:rsidP="00905D0F">
      <w:pPr>
        <w:pStyle w:val="1"/>
        <w:jc w:val="left"/>
      </w:pPr>
      <w:bookmarkStart w:id="62" w:name="_Toc368930201"/>
      <w:bookmarkStart w:id="63" w:name="_Toc368930825"/>
      <w:bookmarkStart w:id="64" w:name="_Toc368988882"/>
    </w:p>
    <w:p w:rsidR="00311124" w:rsidRPr="00EC20F8" w:rsidRDefault="00311124" w:rsidP="00311124">
      <w:pPr>
        <w:pStyle w:val="1"/>
      </w:pPr>
      <w:bookmarkStart w:id="65" w:name="_Toc400529666"/>
      <w:r w:rsidRPr="00EC20F8">
        <w:t>5. Потребительский рынок</w:t>
      </w:r>
      <w:bookmarkEnd w:id="65"/>
    </w:p>
    <w:p w:rsidR="00311124" w:rsidRPr="00EC20F8" w:rsidRDefault="00311124" w:rsidP="00311124">
      <w:pPr>
        <w:autoSpaceDE w:val="0"/>
        <w:autoSpaceDN w:val="0"/>
        <w:adjustRightInd w:val="0"/>
        <w:spacing w:line="240" w:lineRule="auto"/>
        <w:outlineLvl w:val="2"/>
        <w:rPr>
          <w:rFonts w:ascii="Times New Roman" w:hAnsi="Times New Roman" w:cs="Times New Roman"/>
          <w:b/>
          <w:bCs/>
          <w:sz w:val="12"/>
          <w:szCs w:val="12"/>
        </w:rPr>
      </w:pPr>
    </w:p>
    <w:p w:rsidR="00311124" w:rsidRPr="00EC20F8" w:rsidRDefault="00311124" w:rsidP="00311124">
      <w:pPr>
        <w:widowControl w:val="0"/>
        <w:spacing w:line="240" w:lineRule="auto"/>
        <w:ind w:firstLine="709"/>
        <w:jc w:val="both"/>
        <w:rPr>
          <w:rFonts w:ascii="Times New Roman" w:hAnsi="Times New Roman" w:cs="Times New Roman"/>
          <w:sz w:val="28"/>
          <w:szCs w:val="28"/>
          <w:lang w:eastAsia="ru-RU"/>
        </w:rPr>
      </w:pPr>
      <w:r w:rsidRPr="00EC20F8">
        <w:rPr>
          <w:rFonts w:ascii="Times New Roman" w:hAnsi="Times New Roman" w:cs="Times New Roman"/>
          <w:sz w:val="28"/>
          <w:szCs w:val="28"/>
          <w:lang w:eastAsia="ru-RU"/>
        </w:rPr>
        <w:t>За 2013 год на потребительском рынке городского округа отмечался более высокий рост цен по сравнению с 2012 годом. Цены на товары и услуги на потребительском рынке выросли в среднем на 6,27 % (в 2012 году – на 5,59 %). Индексы потребительских цен на товары и платные услуги населению Камчатского края в 2013 году представлены на рисунке 5.1.</w:t>
      </w:r>
    </w:p>
    <w:p w:rsidR="00311124" w:rsidRPr="00EC20F8" w:rsidRDefault="00311124" w:rsidP="00311124">
      <w:pPr>
        <w:widowControl w:val="0"/>
        <w:spacing w:line="240" w:lineRule="auto"/>
        <w:ind w:firstLine="709"/>
        <w:jc w:val="both"/>
        <w:rPr>
          <w:rFonts w:ascii="Times New Roman" w:hAnsi="Times New Roman" w:cs="Times New Roman"/>
          <w:sz w:val="28"/>
          <w:szCs w:val="28"/>
          <w:lang w:eastAsia="ru-RU"/>
        </w:rPr>
      </w:pPr>
    </w:p>
    <w:p w:rsidR="00311124" w:rsidRPr="00EC20F8" w:rsidRDefault="000334BA" w:rsidP="00311124">
      <w:pPr>
        <w:widowControl w:val="0"/>
        <w:spacing w:line="240" w:lineRule="auto"/>
        <w:jc w:val="center"/>
        <w:rPr>
          <w:rFonts w:ascii="Times New Roman" w:hAnsi="Times New Roman" w:cs="Times New Roman"/>
          <w:sz w:val="28"/>
          <w:szCs w:val="28"/>
          <w:lang w:eastAsia="ru-RU"/>
        </w:rPr>
      </w:pPr>
      <w:r>
        <w:rPr>
          <w:rFonts w:ascii="Times New Roman" w:hAnsi="Times New Roman" w:cs="Times New Roman"/>
          <w:noProof/>
          <w:sz w:val="28"/>
          <w:szCs w:val="28"/>
          <w:lang w:eastAsia="ru-RU"/>
        </w:rPr>
        <w:pict>
          <v:rect id="_x0000_s1026" style="position:absolute;left:0;text-align:left;margin-left:82.95pt;margin-top:139.4pt;width:21.75pt;height:24pt;z-index:251659264" filled="f" fillcolor="#365f91 [2404]" stroked="f">
            <v:textbox style="mso-next-textbox:#_x0000_s1026">
              <w:txbxContent>
                <w:p w:rsidR="009071FF" w:rsidRPr="0086358A" w:rsidRDefault="009071FF" w:rsidP="00311124">
                  <w:pPr>
                    <w:rPr>
                      <w:rFonts w:ascii="Times New Roman" w:hAnsi="Times New Roman" w:cs="Times New Roman"/>
                    </w:rPr>
                  </w:pPr>
                  <w:r w:rsidRPr="0086358A">
                    <w:rPr>
                      <w:rFonts w:ascii="Times New Roman" w:hAnsi="Times New Roman" w:cs="Times New Roman"/>
                    </w:rPr>
                    <w:t>1</w:t>
                  </w:r>
                </w:p>
              </w:txbxContent>
            </v:textbox>
          </v:rect>
        </w:pict>
      </w:r>
      <w:r w:rsidR="00311124" w:rsidRPr="00EC20F8">
        <w:rPr>
          <w:rFonts w:ascii="Times New Roman" w:hAnsi="Times New Roman" w:cs="Times New Roman"/>
          <w:noProof/>
          <w:sz w:val="28"/>
          <w:szCs w:val="28"/>
          <w:bdr w:val="single" w:sz="4" w:space="0" w:color="auto"/>
          <w:lang w:eastAsia="ru-RU"/>
        </w:rPr>
        <w:drawing>
          <wp:inline distT="0" distB="0" distL="0" distR="0">
            <wp:extent cx="5343525" cy="3771900"/>
            <wp:effectExtent l="19050" t="0" r="0" b="0"/>
            <wp:docPr id="24"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11124" w:rsidRPr="00EC20F8" w:rsidRDefault="00311124" w:rsidP="00311124">
      <w:pPr>
        <w:widowControl w:val="0"/>
        <w:spacing w:line="240" w:lineRule="auto"/>
        <w:jc w:val="center"/>
        <w:rPr>
          <w:rFonts w:ascii="Times New Roman" w:hAnsi="Times New Roman" w:cs="Times New Roman"/>
          <w:i/>
          <w:sz w:val="24"/>
          <w:szCs w:val="24"/>
          <w:lang w:eastAsia="ru-RU"/>
        </w:rPr>
      </w:pPr>
    </w:p>
    <w:p w:rsidR="00311124" w:rsidRPr="00EC20F8" w:rsidRDefault="00311124" w:rsidP="00311124">
      <w:pPr>
        <w:widowControl w:val="0"/>
        <w:spacing w:line="240" w:lineRule="auto"/>
        <w:jc w:val="center"/>
        <w:rPr>
          <w:rFonts w:ascii="Times New Roman" w:hAnsi="Times New Roman" w:cs="Times New Roman"/>
          <w:i/>
          <w:sz w:val="24"/>
          <w:szCs w:val="24"/>
          <w:lang w:eastAsia="ru-RU"/>
        </w:rPr>
      </w:pPr>
      <w:r w:rsidRPr="00EC20F8">
        <w:rPr>
          <w:rFonts w:ascii="Times New Roman" w:hAnsi="Times New Roman" w:cs="Times New Roman"/>
          <w:i/>
          <w:sz w:val="24"/>
          <w:szCs w:val="24"/>
          <w:lang w:eastAsia="ru-RU"/>
        </w:rPr>
        <w:t>Рисунок 5.</w:t>
      </w:r>
      <w:r w:rsidR="00DE2F76" w:rsidRPr="00EC20F8">
        <w:rPr>
          <w:rFonts w:ascii="Times New Roman" w:hAnsi="Times New Roman" w:cs="Times New Roman"/>
          <w:i/>
          <w:sz w:val="24"/>
          <w:szCs w:val="24"/>
          <w:lang w:eastAsia="ru-RU"/>
        </w:rPr>
        <w:t xml:space="preserve">1. Индексы потребительских цен </w:t>
      </w:r>
      <w:r w:rsidRPr="00EC20F8">
        <w:rPr>
          <w:rFonts w:ascii="Times New Roman" w:hAnsi="Times New Roman" w:cs="Times New Roman"/>
          <w:i/>
          <w:sz w:val="24"/>
          <w:szCs w:val="24"/>
          <w:lang w:eastAsia="ru-RU"/>
        </w:rPr>
        <w:t>на товары и платные услуги населению Камчатского края в 2013 году (</w:t>
      </w:r>
      <w:proofErr w:type="gramStart"/>
      <w:r w:rsidRPr="00EC20F8">
        <w:rPr>
          <w:rFonts w:ascii="Times New Roman" w:hAnsi="Times New Roman" w:cs="Times New Roman"/>
          <w:i/>
          <w:sz w:val="24"/>
          <w:szCs w:val="24"/>
          <w:lang w:eastAsia="ru-RU"/>
        </w:rPr>
        <w:t>в</w:t>
      </w:r>
      <w:proofErr w:type="gramEnd"/>
      <w:r w:rsidRPr="00EC20F8">
        <w:rPr>
          <w:rFonts w:ascii="Times New Roman" w:hAnsi="Times New Roman" w:cs="Times New Roman"/>
          <w:i/>
          <w:sz w:val="24"/>
          <w:szCs w:val="24"/>
          <w:lang w:eastAsia="ru-RU"/>
        </w:rPr>
        <w:t xml:space="preserve"> </w:t>
      </w:r>
      <w:r w:rsidR="006E725A" w:rsidRPr="00EC20F8">
        <w:rPr>
          <w:rFonts w:ascii="Times New Roman" w:hAnsi="Times New Roman" w:cs="Times New Roman"/>
          <w:i/>
          <w:sz w:val="24"/>
          <w:szCs w:val="24"/>
          <w:lang w:eastAsia="ru-RU"/>
        </w:rPr>
        <w:t>%</w:t>
      </w:r>
      <w:r w:rsidRPr="00EC20F8">
        <w:rPr>
          <w:rFonts w:ascii="Times New Roman" w:hAnsi="Times New Roman" w:cs="Times New Roman"/>
          <w:i/>
          <w:sz w:val="24"/>
          <w:szCs w:val="24"/>
          <w:lang w:eastAsia="ru-RU"/>
        </w:rPr>
        <w:t>).</w:t>
      </w:r>
    </w:p>
    <w:p w:rsidR="00311124" w:rsidRPr="00EC20F8" w:rsidRDefault="00311124" w:rsidP="00311124">
      <w:pPr>
        <w:widowControl w:val="0"/>
        <w:spacing w:line="240" w:lineRule="auto"/>
        <w:ind w:firstLine="709"/>
        <w:jc w:val="both"/>
      </w:pPr>
      <w:r w:rsidRPr="00EC20F8">
        <w:rPr>
          <w:rFonts w:ascii="Times New Roman" w:hAnsi="Times New Roman" w:cs="Times New Roman"/>
          <w:sz w:val="28"/>
          <w:szCs w:val="28"/>
        </w:rPr>
        <w:t>Оборот розничной торговли в 2013 году вырос по отношению к уровню 2012 на 0</w:t>
      </w:r>
      <w:r w:rsidR="00511BAE" w:rsidRPr="00EC20F8">
        <w:rPr>
          <w:rFonts w:ascii="Times New Roman" w:hAnsi="Times New Roman" w:cs="Times New Roman"/>
          <w:sz w:val="28"/>
          <w:szCs w:val="28"/>
        </w:rPr>
        <w:t>,4 %</w:t>
      </w:r>
      <w:r w:rsidRPr="00EC20F8">
        <w:rPr>
          <w:rFonts w:ascii="Times New Roman" w:hAnsi="Times New Roman" w:cs="Times New Roman"/>
          <w:sz w:val="28"/>
          <w:szCs w:val="28"/>
        </w:rPr>
        <w:t xml:space="preserve"> в товарной массе и составил 30 354,2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w:t>
      </w:r>
      <w:proofErr w:type="gramStart"/>
      <w:r w:rsidRPr="00EC20F8">
        <w:rPr>
          <w:rFonts w:ascii="Times New Roman" w:hAnsi="Times New Roman" w:cs="Times New Roman"/>
          <w:sz w:val="28"/>
          <w:szCs w:val="28"/>
        </w:rPr>
        <w:t xml:space="preserve">По отношению к 2012 году снизились темпы роста оборота розничной торговли в действующих ценах на 1,3%, в товарной массе с 2,8 % до 0,4 %. </w:t>
      </w:r>
      <w:proofErr w:type="gramEnd"/>
    </w:p>
    <w:p w:rsidR="00311124" w:rsidRPr="00EC20F8" w:rsidRDefault="00311124" w:rsidP="00311124">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Сохранение положительной динамики оборота розничной торговли во многом обеспечивалось увеличением заработной платы, реальный уровень которой в 2013 году относительно предшествующего года составил 105,5 % (в 2012 году – 104,9 %).</w:t>
      </w:r>
    </w:p>
    <w:p w:rsidR="00311124" w:rsidRPr="00EC20F8" w:rsidRDefault="00311124" w:rsidP="00311124">
      <w:pPr>
        <w:pStyle w:val="af7"/>
        <w:spacing w:before="0" w:beforeAutospacing="0" w:after="0" w:afterAutospacing="0"/>
        <w:ind w:left="142" w:firstLine="567"/>
        <w:jc w:val="both"/>
        <w:rPr>
          <w:sz w:val="28"/>
          <w:szCs w:val="28"/>
        </w:rPr>
      </w:pPr>
      <w:r w:rsidRPr="00EC20F8">
        <w:rPr>
          <w:sz w:val="28"/>
          <w:szCs w:val="28"/>
        </w:rPr>
        <w:t>Структура формирования оборота розничной торговли и товарная структура оборота в 2013 году сохранила тенденции, сложившиеся в предшествующие годы.</w:t>
      </w:r>
    </w:p>
    <w:p w:rsidR="00311124" w:rsidRPr="00EC20F8" w:rsidRDefault="00311124" w:rsidP="00311124">
      <w:pPr>
        <w:widowControl w:val="0"/>
        <w:ind w:firstLine="709"/>
        <w:jc w:val="both"/>
      </w:pPr>
      <w:r w:rsidRPr="00EC20F8">
        <w:rPr>
          <w:rFonts w:ascii="Times New Roman" w:hAnsi="Times New Roman" w:cs="Times New Roman"/>
          <w:sz w:val="28"/>
          <w:szCs w:val="28"/>
        </w:rPr>
        <w:t>Основу роста оборота розничной торговли обеспечили торгующие организации и индивидуальные предприниматели, реализующие товары вне рынков, сформировавшие 87,7 % оборота розничной торговли (в 2012 году – 84,3 %). Индекс физического объема продаж в данном секторе увеличился  в 2013 году на 4,3 %.</w:t>
      </w:r>
    </w:p>
    <w:p w:rsidR="00311124" w:rsidRPr="00EC20F8" w:rsidRDefault="00311124" w:rsidP="00311124">
      <w:pPr>
        <w:widowControl w:val="0"/>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Сокращение количества рынков и проведение мероприятий по реконструкции и модернизации действующих рынков привели к снижению объема продаж рыночной торговли в 2013 году на 16,4 %. Доля продаж на розничных рынках и ярмарках в структуре формирования оборота розничной торговли по формам торговли снизилась на 3,3 % и составила 12,3 %.</w:t>
      </w:r>
      <w:proofErr w:type="gramEnd"/>
    </w:p>
    <w:p w:rsidR="00311124" w:rsidRPr="00EC20F8" w:rsidRDefault="00311124" w:rsidP="00311124">
      <w:pPr>
        <w:pStyle w:val="af7"/>
        <w:spacing w:before="0" w:beforeAutospacing="0" w:after="0" w:afterAutospacing="0"/>
        <w:ind w:left="142" w:firstLine="567"/>
        <w:jc w:val="both"/>
        <w:rPr>
          <w:sz w:val="28"/>
          <w:szCs w:val="28"/>
        </w:rPr>
      </w:pPr>
      <w:r w:rsidRPr="00EC20F8">
        <w:rPr>
          <w:sz w:val="28"/>
          <w:szCs w:val="28"/>
        </w:rPr>
        <w:t>В структуре оборота розничной</w:t>
      </w:r>
      <w:r w:rsidRPr="00EC20F8">
        <w:rPr>
          <w:noProof/>
          <w:sz w:val="28"/>
          <w:szCs w:val="28"/>
        </w:rPr>
        <w:t xml:space="preserve"> троговли</w:t>
      </w:r>
      <w:r w:rsidRPr="00EC20F8">
        <w:rPr>
          <w:sz w:val="28"/>
          <w:szCs w:val="28"/>
        </w:rPr>
        <w:t xml:space="preserve"> в 2013 году, не смотря на опережающие темпы роста оборота непродовольственной группы товаров, сохраняется преобладание доли </w:t>
      </w:r>
      <w:r w:rsidRPr="00EC20F8">
        <w:rPr>
          <w:noProof/>
          <w:sz w:val="28"/>
          <w:szCs w:val="28"/>
        </w:rPr>
        <w:t>пищевых продуктов, включая напитки и табачные изделия</w:t>
      </w:r>
      <w:r w:rsidRPr="00EC20F8">
        <w:rPr>
          <w:sz w:val="28"/>
          <w:szCs w:val="28"/>
        </w:rPr>
        <w:t xml:space="preserve"> (далее - продовольственные товары) (рисунок 5.2.).</w:t>
      </w:r>
    </w:p>
    <w:p w:rsidR="00311124" w:rsidRPr="00EC20F8" w:rsidRDefault="00311124" w:rsidP="00311124">
      <w:pPr>
        <w:pStyle w:val="af7"/>
        <w:spacing w:before="0" w:beforeAutospacing="0" w:after="0" w:afterAutospacing="0"/>
        <w:ind w:left="142" w:firstLine="567"/>
        <w:jc w:val="both"/>
        <w:rPr>
          <w:noProof/>
          <w:sz w:val="28"/>
          <w:szCs w:val="28"/>
        </w:rPr>
      </w:pPr>
    </w:p>
    <w:p w:rsidR="00311124" w:rsidRPr="00EC20F8" w:rsidRDefault="00311124" w:rsidP="00305922">
      <w:pPr>
        <w:pStyle w:val="af7"/>
        <w:spacing w:before="0" w:beforeAutospacing="0" w:after="0" w:afterAutospacing="0"/>
        <w:ind w:left="142" w:firstLine="567"/>
        <w:rPr>
          <w:noProof/>
          <w:sz w:val="28"/>
          <w:szCs w:val="28"/>
        </w:rPr>
      </w:pPr>
      <w:r w:rsidRPr="00EC20F8">
        <w:rPr>
          <w:noProof/>
          <w:sz w:val="28"/>
          <w:szCs w:val="28"/>
          <w:bdr w:val="single" w:sz="4" w:space="0" w:color="auto"/>
        </w:rPr>
        <w:drawing>
          <wp:inline distT="0" distB="0" distL="0" distR="0">
            <wp:extent cx="5109653" cy="2232837"/>
            <wp:effectExtent l="19050" t="0" r="0" b="0"/>
            <wp:docPr id="25"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11124" w:rsidRPr="00EC20F8" w:rsidRDefault="00311124" w:rsidP="00311124">
      <w:pPr>
        <w:pStyle w:val="af7"/>
        <w:spacing w:before="0" w:beforeAutospacing="0" w:after="0" w:afterAutospacing="0"/>
        <w:ind w:left="142" w:firstLine="567"/>
        <w:jc w:val="center"/>
        <w:rPr>
          <w:i/>
        </w:rPr>
      </w:pPr>
      <w:r w:rsidRPr="00EC20F8">
        <w:rPr>
          <w:i/>
        </w:rPr>
        <w:t>Рисунок 5.2. Структура оборота  розничной торговли за 2013 год  в фактически действующих ценах</w:t>
      </w:r>
    </w:p>
    <w:p w:rsidR="00311124" w:rsidRPr="00EC20F8" w:rsidRDefault="00311124" w:rsidP="00311124">
      <w:pPr>
        <w:pStyle w:val="af7"/>
        <w:spacing w:before="0" w:beforeAutospacing="0" w:after="0" w:afterAutospacing="0"/>
        <w:ind w:left="142" w:firstLine="567"/>
        <w:jc w:val="center"/>
        <w:rPr>
          <w:i/>
          <w:noProof/>
        </w:rPr>
      </w:pPr>
    </w:p>
    <w:p w:rsidR="00311124" w:rsidRPr="00EC20F8" w:rsidRDefault="00311124" w:rsidP="00311124">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Оборот розничной торговли продовольственными товарами в товарной массе сложился выше уровня 2012 года </w:t>
      </w:r>
      <w:r w:rsidR="00DE2F76" w:rsidRPr="00EC20F8">
        <w:rPr>
          <w:rFonts w:ascii="Times New Roman" w:hAnsi="Times New Roman" w:cs="Times New Roman"/>
          <w:sz w:val="28"/>
          <w:szCs w:val="28"/>
        </w:rPr>
        <w:t xml:space="preserve">на 0,3 % </w:t>
      </w:r>
      <w:r w:rsidRPr="00EC20F8">
        <w:rPr>
          <w:rFonts w:ascii="Times New Roman" w:hAnsi="Times New Roman" w:cs="Times New Roman"/>
          <w:sz w:val="28"/>
          <w:szCs w:val="28"/>
        </w:rPr>
        <w:t xml:space="preserve">и составил 17 153,0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Удельный вес продовольственных товаров в структуре оборота розничной торговли увеличилась по сравнению с 2012 годом на </w:t>
      </w:r>
      <w:proofErr w:type="gramStart"/>
      <w:r w:rsidRPr="00EC20F8">
        <w:rPr>
          <w:rFonts w:ascii="Times New Roman" w:hAnsi="Times New Roman" w:cs="Times New Roman"/>
          <w:sz w:val="28"/>
          <w:szCs w:val="28"/>
        </w:rPr>
        <w:t>0,5</w:t>
      </w:r>
      <w:proofErr w:type="gramEnd"/>
      <w:r w:rsidRPr="00EC20F8">
        <w:rPr>
          <w:rFonts w:ascii="Times New Roman" w:hAnsi="Times New Roman" w:cs="Times New Roman"/>
          <w:sz w:val="28"/>
          <w:szCs w:val="28"/>
        </w:rPr>
        <w:t xml:space="preserve"> % и составил 56,5 %. </w:t>
      </w:r>
    </w:p>
    <w:p w:rsidR="00311124" w:rsidRPr="00EC20F8" w:rsidRDefault="00311124" w:rsidP="00311124">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Доля непродовольственных товаров в структуре товарооборота в 2013 году по сравнению с предшествующим годом снизилась на 0,5 % и составила 43,5 %. Объем продаж непродовольственных товаров в товарной массе вырос на 0,9 % и обеспечен увеличением потребительского спроса на товары длительного пользования. </w:t>
      </w:r>
    </w:p>
    <w:p w:rsidR="00311124" w:rsidRPr="00EC20F8" w:rsidRDefault="00311124" w:rsidP="00311124">
      <w:pPr>
        <w:ind w:firstLine="709"/>
        <w:jc w:val="both"/>
        <w:rPr>
          <w:rFonts w:ascii="Times New Roman" w:hAnsi="Times New Roman" w:cs="Times New Roman"/>
          <w:noProof/>
          <w:sz w:val="28"/>
          <w:szCs w:val="28"/>
        </w:rPr>
      </w:pPr>
      <w:r w:rsidRPr="00EC20F8">
        <w:rPr>
          <w:rFonts w:ascii="Times New Roman" w:hAnsi="Times New Roman" w:cs="Times New Roman"/>
          <w:noProof/>
          <w:sz w:val="28"/>
          <w:szCs w:val="28"/>
        </w:rPr>
        <w:t xml:space="preserve">Обеспеченность оборота товарными запасами в розничной сети на конец 2013 года снизилась на 12,8 % и составила по городскому округу  32 дня (на конец 2012 года - 42 дня). </w:t>
      </w:r>
    </w:p>
    <w:p w:rsidR="00311124" w:rsidRPr="00EC20F8" w:rsidRDefault="00311124" w:rsidP="00311124">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По состоянию на 31.12.2013 на территории городского округа функционировали 1 469 магазинов (включая торговые центры), 729 павильонов, 397 палаток и киосков.</w:t>
      </w:r>
    </w:p>
    <w:p w:rsidR="00311124" w:rsidRPr="00EC20F8" w:rsidRDefault="00311124" w:rsidP="00311124">
      <w:pPr>
        <w:spacing w:line="240" w:lineRule="auto"/>
        <w:ind w:firstLine="709"/>
        <w:jc w:val="both"/>
        <w:rPr>
          <w:rFonts w:ascii="Times New Roman" w:hAnsi="Times New Roman"/>
          <w:sz w:val="28"/>
          <w:szCs w:val="28"/>
        </w:rPr>
      </w:pPr>
      <w:proofErr w:type="gramStart"/>
      <w:r w:rsidRPr="00EC20F8">
        <w:rPr>
          <w:rFonts w:ascii="Times New Roman" w:hAnsi="Times New Roman" w:cs="Times New Roman"/>
          <w:sz w:val="28"/>
          <w:szCs w:val="28"/>
        </w:rPr>
        <w:t>Основными тенденциями развития инфраструктуры розничной торговли является развитие крупных форматов торговли, сокращение количества объектов мелкорозничной торговли, развитие стационарных предприятий по сетевому принципу.</w:t>
      </w:r>
      <w:proofErr w:type="gramEnd"/>
      <w:r w:rsidRPr="00EC20F8">
        <w:rPr>
          <w:rFonts w:ascii="Times New Roman" w:hAnsi="Times New Roman" w:cs="Times New Roman"/>
          <w:sz w:val="28"/>
          <w:szCs w:val="28"/>
        </w:rPr>
        <w:t xml:space="preserve"> </w:t>
      </w:r>
      <w:r w:rsidRPr="00EC20F8">
        <w:rPr>
          <w:rFonts w:ascii="Times New Roman" w:hAnsi="Times New Roman" w:cs="Times New Roman"/>
          <w:noProof/>
          <w:sz w:val="28"/>
          <w:szCs w:val="28"/>
        </w:rPr>
        <w:t>Только за три последних года сданы в эксплуатацию крупные торговые центры: «Вега», «Светлана», «Глобус», «Комсомольская площадь», «Александрия», «Империал», «Посейдон» и «Аквамарин». Обеспеченность торговыми площадями населения городского округа, за отчетный период составила 647,9 м</w:t>
      </w:r>
      <w:r w:rsidRPr="00EC20F8">
        <w:rPr>
          <w:rFonts w:ascii="Times New Roman" w:hAnsi="Times New Roman" w:cs="Times New Roman"/>
          <w:noProof/>
          <w:sz w:val="28"/>
          <w:szCs w:val="28"/>
          <w:vertAlign w:val="superscript"/>
        </w:rPr>
        <w:t>2</w:t>
      </w:r>
      <w:r w:rsidRPr="00EC20F8">
        <w:rPr>
          <w:rFonts w:ascii="Times New Roman" w:hAnsi="Times New Roman" w:cs="Times New Roman"/>
          <w:noProof/>
          <w:sz w:val="28"/>
          <w:szCs w:val="28"/>
        </w:rPr>
        <w:t xml:space="preserve"> </w:t>
      </w:r>
      <w:r w:rsidRPr="00EC20F8">
        <w:rPr>
          <w:rFonts w:ascii="Times New Roman" w:hAnsi="Times New Roman" w:cs="Times New Roman"/>
          <w:sz w:val="28"/>
          <w:szCs w:val="28"/>
        </w:rPr>
        <w:t>на 1 000 человек, что выше норматива в 1,5 раза</w:t>
      </w:r>
      <w:r w:rsidRPr="00EC20F8">
        <w:rPr>
          <w:rFonts w:ascii="Times New Roman" w:hAnsi="Times New Roman" w:cs="Times New Roman"/>
          <w:noProof/>
          <w:sz w:val="28"/>
          <w:szCs w:val="28"/>
        </w:rPr>
        <w:t>.</w:t>
      </w:r>
      <w:r w:rsidRPr="00EC20F8">
        <w:rPr>
          <w:rFonts w:ascii="Times New Roman" w:hAnsi="Times New Roman"/>
          <w:sz w:val="28"/>
          <w:szCs w:val="28"/>
        </w:rPr>
        <w:t xml:space="preserve"> С учетом нестационарной торговой сети, размещенной на территории </w:t>
      </w:r>
      <w:proofErr w:type="gramStart"/>
      <w:r w:rsidRPr="00EC20F8">
        <w:rPr>
          <w:rFonts w:ascii="Times New Roman" w:hAnsi="Times New Roman"/>
          <w:sz w:val="28"/>
          <w:szCs w:val="28"/>
        </w:rPr>
        <w:t>Петропавловск-Камчатского</w:t>
      </w:r>
      <w:proofErr w:type="gramEnd"/>
      <w:r w:rsidRPr="00EC20F8">
        <w:rPr>
          <w:rFonts w:ascii="Times New Roman" w:hAnsi="Times New Roman"/>
          <w:sz w:val="28"/>
          <w:szCs w:val="28"/>
        </w:rPr>
        <w:t xml:space="preserve"> городского округа превышение норматива составит в 2,5 раза.</w:t>
      </w:r>
    </w:p>
    <w:p w:rsidR="00311124" w:rsidRPr="00EC20F8" w:rsidRDefault="00311124" w:rsidP="00311124">
      <w:pPr>
        <w:autoSpaceDE w:val="0"/>
        <w:autoSpaceDN w:val="0"/>
        <w:adjustRightInd w:val="0"/>
        <w:spacing w:line="240" w:lineRule="auto"/>
        <w:ind w:firstLine="709"/>
        <w:jc w:val="both"/>
        <w:rPr>
          <w:rFonts w:ascii="Times New Roman" w:hAnsi="Times New Roman" w:cs="Times New Roman"/>
          <w:sz w:val="28"/>
          <w:szCs w:val="28"/>
        </w:rPr>
      </w:pPr>
      <w:r w:rsidRPr="00EC20F8">
        <w:rPr>
          <w:rFonts w:ascii="Times New Roman" w:hAnsi="Times New Roman" w:cs="Times New Roman"/>
          <w:bCs/>
          <w:iCs/>
          <w:sz w:val="28"/>
          <w:szCs w:val="28"/>
        </w:rPr>
        <w:t>В 2014 году</w:t>
      </w:r>
      <w:r w:rsidRPr="00EC20F8">
        <w:rPr>
          <w:rFonts w:ascii="Times New Roman" w:hAnsi="Times New Roman" w:cs="Times New Roman"/>
          <w:sz w:val="28"/>
          <w:szCs w:val="28"/>
        </w:rPr>
        <w:t xml:space="preserve"> оборот розничной торговли</w:t>
      </w:r>
      <w:r w:rsidRPr="00EC20F8">
        <w:rPr>
          <w:rFonts w:ascii="Times New Roman" w:hAnsi="Times New Roman" w:cs="Times New Roman"/>
          <w:iCs/>
          <w:sz w:val="28"/>
          <w:szCs w:val="28"/>
        </w:rPr>
        <w:t>,</w:t>
      </w:r>
      <w:r w:rsidRPr="00EC20F8">
        <w:rPr>
          <w:rFonts w:ascii="Times New Roman" w:hAnsi="Times New Roman" w:cs="Times New Roman"/>
          <w:sz w:val="28"/>
          <w:szCs w:val="28"/>
        </w:rPr>
        <w:t xml:space="preserve"> по оценке, с</w:t>
      </w:r>
      <w:r w:rsidRPr="00EC20F8">
        <w:rPr>
          <w:rFonts w:ascii="Times New Roman" w:hAnsi="Times New Roman" w:cs="Times New Roman"/>
          <w:iCs/>
          <w:sz w:val="28"/>
          <w:szCs w:val="28"/>
        </w:rPr>
        <w:t xml:space="preserve"> у</w:t>
      </w:r>
      <w:r w:rsidRPr="00EC20F8">
        <w:rPr>
          <w:rFonts w:ascii="Times New Roman" w:hAnsi="Times New Roman" w:cs="Times New Roman"/>
          <w:sz w:val="28"/>
          <w:szCs w:val="28"/>
        </w:rPr>
        <w:t xml:space="preserve">четом ожидаемых параметров инфляции, сложившейся динамики реальных располагаемых доходов населения и их прогнозируемого роста, составит            32 310,48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что превысит уровень 2013 года на 100,80% в сопоставимых ценах. Товарная структура оборота розничной торговли сохранит параметры преобладания доли продовольственных товаров в общем объеме товарооборота, которая, по оценке, составит 57 %.</w:t>
      </w:r>
    </w:p>
    <w:p w:rsidR="00C27813" w:rsidRPr="00EC20F8" w:rsidRDefault="00311124" w:rsidP="00C27813">
      <w:pPr>
        <w:pStyle w:val="NoSpacing"/>
        <w:pBdr>
          <w:right w:val="none" w:sz="0" w:space="1" w:color="000000"/>
        </w:pBdr>
        <w:ind w:firstLine="720"/>
        <w:jc w:val="both"/>
        <w:rPr>
          <w:rFonts w:ascii="Times New Roman" w:hAnsi="Times New Roman" w:cs="Times New Roman"/>
          <w:sz w:val="28"/>
          <w:szCs w:val="28"/>
        </w:rPr>
      </w:pPr>
      <w:r w:rsidRPr="00EC20F8">
        <w:rPr>
          <w:rFonts w:ascii="Times New Roman" w:hAnsi="Times New Roman" w:cs="Times New Roman"/>
          <w:sz w:val="28"/>
          <w:szCs w:val="28"/>
        </w:rPr>
        <w:t xml:space="preserve">В настоящее время функционирует один </w:t>
      </w:r>
      <w:r w:rsidR="00C27813" w:rsidRPr="00EC20F8">
        <w:rPr>
          <w:rFonts w:ascii="Times New Roman" w:hAnsi="Times New Roman" w:cs="Times New Roman"/>
          <w:sz w:val="28"/>
          <w:szCs w:val="28"/>
        </w:rPr>
        <w:t xml:space="preserve">универсальный </w:t>
      </w:r>
      <w:r w:rsidRPr="00EC20F8">
        <w:rPr>
          <w:rFonts w:ascii="Times New Roman" w:hAnsi="Times New Roman" w:cs="Times New Roman"/>
          <w:sz w:val="28"/>
          <w:szCs w:val="28"/>
        </w:rPr>
        <w:t>рынок по пр. 50 лет Октября,</w:t>
      </w:r>
      <w:r w:rsidR="00C27813" w:rsidRPr="00EC20F8">
        <w:rPr>
          <w:rFonts w:ascii="Times New Roman" w:hAnsi="Times New Roman" w:cs="Times New Roman"/>
          <w:sz w:val="28"/>
          <w:szCs w:val="28"/>
        </w:rPr>
        <w:t xml:space="preserve"> 16</w:t>
      </w:r>
      <w:r w:rsidRPr="00EC20F8">
        <w:rPr>
          <w:rFonts w:ascii="Times New Roman" w:hAnsi="Times New Roman" w:cs="Times New Roman"/>
          <w:sz w:val="28"/>
          <w:szCs w:val="28"/>
        </w:rPr>
        <w:t xml:space="preserve"> </w:t>
      </w:r>
      <w:r w:rsidR="00C27813" w:rsidRPr="00EC20F8">
        <w:rPr>
          <w:rFonts w:ascii="Times New Roman" w:hAnsi="Times New Roman" w:cs="Times New Roman"/>
          <w:sz w:val="28"/>
          <w:szCs w:val="28"/>
        </w:rPr>
        <w:t>площадью</w:t>
      </w:r>
      <w:r w:rsidRPr="00EC20F8">
        <w:rPr>
          <w:rFonts w:ascii="Times New Roman" w:hAnsi="Times New Roman" w:cs="Times New Roman"/>
          <w:sz w:val="28"/>
          <w:szCs w:val="28"/>
        </w:rPr>
        <w:t xml:space="preserve"> 1</w:t>
      </w:r>
      <w:r w:rsidR="00C27813" w:rsidRPr="00EC20F8">
        <w:rPr>
          <w:rFonts w:ascii="Times New Roman" w:hAnsi="Times New Roman" w:cs="Times New Roman"/>
          <w:sz w:val="28"/>
          <w:szCs w:val="28"/>
        </w:rPr>
        <w:t>4,3 тысяч кв. м.</w:t>
      </w:r>
    </w:p>
    <w:p w:rsidR="00311124" w:rsidRPr="00EC20F8" w:rsidRDefault="00C27813" w:rsidP="00C27813">
      <w:pPr>
        <w:pStyle w:val="NoSpacing"/>
        <w:pBdr>
          <w:right w:val="none" w:sz="0" w:space="1" w:color="000000"/>
        </w:pBdr>
        <w:ind w:firstLine="720"/>
        <w:jc w:val="both"/>
        <w:rPr>
          <w:rFonts w:ascii="Times New Roman" w:hAnsi="Times New Roman" w:cs="Times New Roman"/>
          <w:sz w:val="28"/>
          <w:szCs w:val="28"/>
        </w:rPr>
      </w:pPr>
      <w:r w:rsidRPr="00EC20F8">
        <w:rPr>
          <w:rFonts w:ascii="Times New Roman" w:hAnsi="Times New Roman" w:cs="Times New Roman"/>
          <w:sz w:val="28"/>
          <w:szCs w:val="28"/>
        </w:rPr>
        <w:t>С</w:t>
      </w:r>
      <w:r w:rsidR="00311124" w:rsidRPr="00EC20F8">
        <w:rPr>
          <w:rFonts w:ascii="Times New Roman" w:hAnsi="Times New Roman" w:cs="Times New Roman"/>
          <w:sz w:val="28"/>
          <w:szCs w:val="28"/>
        </w:rPr>
        <w:t xml:space="preserve"> учетом ввода в действие строящихся рынков по улицам Пограничная, Фролова и планируемого к строител</w:t>
      </w:r>
      <w:r w:rsidRPr="00EC20F8">
        <w:rPr>
          <w:rFonts w:ascii="Times New Roman" w:hAnsi="Times New Roman" w:cs="Times New Roman"/>
          <w:sz w:val="28"/>
          <w:szCs w:val="28"/>
        </w:rPr>
        <w:t>ьству рынка по проспекту Победы</w:t>
      </w:r>
      <w:r w:rsidR="00311124" w:rsidRPr="00EC20F8">
        <w:rPr>
          <w:rFonts w:ascii="Times New Roman" w:hAnsi="Times New Roman" w:cs="Times New Roman"/>
          <w:sz w:val="28"/>
          <w:szCs w:val="28"/>
        </w:rPr>
        <w:t xml:space="preserve"> </w:t>
      </w:r>
      <w:r w:rsidRPr="00EC20F8">
        <w:rPr>
          <w:rFonts w:ascii="Times New Roman" w:hAnsi="Times New Roman" w:cs="Times New Roman"/>
          <w:sz w:val="28"/>
          <w:szCs w:val="28"/>
        </w:rPr>
        <w:t xml:space="preserve">площадь розничных рынков составит </w:t>
      </w:r>
      <w:r w:rsidR="00311124" w:rsidRPr="00EC20F8">
        <w:rPr>
          <w:rFonts w:ascii="Times New Roman" w:hAnsi="Times New Roman" w:cs="Times New Roman"/>
          <w:sz w:val="28"/>
          <w:szCs w:val="28"/>
        </w:rPr>
        <w:t>26,9 тыс. кв</w:t>
      </w:r>
      <w:r w:rsidR="00A01031" w:rsidRPr="00EC20F8">
        <w:rPr>
          <w:rFonts w:ascii="Times New Roman" w:hAnsi="Times New Roman" w:cs="Times New Roman"/>
          <w:sz w:val="28"/>
          <w:szCs w:val="28"/>
        </w:rPr>
        <w:t>.</w:t>
      </w:r>
      <w:r w:rsidR="00311124" w:rsidRPr="00EC20F8">
        <w:rPr>
          <w:rFonts w:ascii="Times New Roman" w:hAnsi="Times New Roman" w:cs="Times New Roman"/>
          <w:sz w:val="28"/>
          <w:szCs w:val="28"/>
        </w:rPr>
        <w:t xml:space="preserve"> м</w:t>
      </w:r>
      <w:r w:rsidRPr="00EC20F8">
        <w:rPr>
          <w:rFonts w:ascii="Times New Roman" w:hAnsi="Times New Roman" w:cs="Times New Roman"/>
          <w:sz w:val="28"/>
          <w:szCs w:val="28"/>
        </w:rPr>
        <w:t>, что выше норматива в 6,1 раз</w:t>
      </w:r>
      <w:r w:rsidR="00311124" w:rsidRPr="00EC20F8">
        <w:rPr>
          <w:rFonts w:ascii="Times New Roman" w:hAnsi="Times New Roman" w:cs="Times New Roman"/>
          <w:sz w:val="28"/>
          <w:szCs w:val="28"/>
        </w:rPr>
        <w:t>.</w:t>
      </w:r>
    </w:p>
    <w:p w:rsidR="00311124" w:rsidRPr="00EC20F8" w:rsidRDefault="00311124" w:rsidP="00311124">
      <w:pPr>
        <w:autoSpaceDE w:val="0"/>
        <w:autoSpaceDN w:val="0"/>
        <w:adjustRightInd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По оценке, доля рыночной торговли по сравнению </w:t>
      </w:r>
      <w:r w:rsidR="00DE2F76" w:rsidRPr="00EC20F8">
        <w:rPr>
          <w:rFonts w:ascii="Times New Roman" w:hAnsi="Times New Roman" w:cs="Times New Roman"/>
          <w:sz w:val="28"/>
          <w:szCs w:val="28"/>
        </w:rPr>
        <w:t xml:space="preserve">с уровнем 2013 года увеличится </w:t>
      </w:r>
      <w:r w:rsidRPr="00EC20F8">
        <w:rPr>
          <w:rFonts w:ascii="Times New Roman" w:hAnsi="Times New Roman" w:cs="Times New Roman"/>
          <w:sz w:val="28"/>
          <w:szCs w:val="28"/>
        </w:rPr>
        <w:t xml:space="preserve">на 0,8% и составит 13,2%.  </w:t>
      </w:r>
    </w:p>
    <w:p w:rsidR="00311124" w:rsidRPr="00EC20F8" w:rsidRDefault="00311124" w:rsidP="00311124">
      <w:pPr>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В целом сфера розничной торговли городского округа будет характеризоваться достаточно высокими показателями развития, расширением сети предприятий современных форматов - </w:t>
      </w:r>
      <w:r w:rsidRPr="00EC20F8">
        <w:rPr>
          <w:rFonts w:ascii="Times New Roman" w:eastAsia="TimesNewRoman" w:hAnsi="Times New Roman" w:cs="Times New Roman"/>
          <w:sz w:val="28"/>
          <w:szCs w:val="28"/>
        </w:rPr>
        <w:t>универсальных торговых предприятий</w:t>
      </w:r>
      <w:r w:rsidRPr="00EC20F8">
        <w:rPr>
          <w:rFonts w:ascii="Times New Roman" w:hAnsi="Times New Roman" w:cs="Times New Roman"/>
          <w:sz w:val="28"/>
          <w:szCs w:val="28"/>
        </w:rPr>
        <w:t xml:space="preserve"> с широким ассортиментом продовольственных и сопутствующих товаров, торговых центров, реализующих непродовольственные группы товаров.</w:t>
      </w:r>
      <w:proofErr w:type="gramEnd"/>
    </w:p>
    <w:p w:rsidR="00311124" w:rsidRPr="00EC20F8" w:rsidRDefault="00311124" w:rsidP="00311124">
      <w:pPr>
        <w:pStyle w:val="31"/>
        <w:widowControl w:val="0"/>
        <w:spacing w:after="0"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В среднесрочной перспективе динамика и изменение структуры оборота будут характеризоваться сложившимися тенденциями предшествующих лет. </w:t>
      </w:r>
      <w:proofErr w:type="gramStart"/>
      <w:r w:rsidRPr="00EC20F8">
        <w:rPr>
          <w:rFonts w:ascii="Times New Roman" w:hAnsi="Times New Roman" w:cs="Times New Roman"/>
          <w:sz w:val="28"/>
          <w:szCs w:val="28"/>
        </w:rPr>
        <w:t>Рост реальных денежных доходов населения, кредитование банками покупки населением товаров длительного пользования, сохранение темпов роста выпуска местными предприятиями конкурентоспособной продукции, отвечающей потребностям населения,  позитивно отразятся на динамике потребительского спроса на товары и услуги.</w:t>
      </w:r>
      <w:proofErr w:type="gramEnd"/>
      <w:r w:rsidRPr="00EC20F8">
        <w:rPr>
          <w:rFonts w:ascii="Times New Roman" w:hAnsi="Times New Roman" w:cs="Times New Roman"/>
          <w:sz w:val="28"/>
          <w:szCs w:val="28"/>
        </w:rPr>
        <w:t xml:space="preserve"> В результате розничный товарооборот в прогнозный период будет демонстрировать рост по обоим вариантам прогноза.</w:t>
      </w:r>
    </w:p>
    <w:p w:rsidR="00311124" w:rsidRPr="00EC20F8" w:rsidRDefault="00311124" w:rsidP="00311124">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По первому варианту прогноза ожидаемый оборот розничной торговли в 2015 году в сопоставимых ценах возрастет  в пределах 100,4 % и составит 34 256,35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К 2017 году оборот розничной торговли достигнет  38 520,50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w:t>
      </w:r>
    </w:p>
    <w:p w:rsidR="00311124" w:rsidRPr="00EC20F8" w:rsidRDefault="00311124" w:rsidP="00311124">
      <w:pPr>
        <w:pStyle w:val="31"/>
        <w:widowControl w:val="0"/>
        <w:spacing w:after="0"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По второму варианту прогнозируется увеличение объема розничного товарооборота в 2015 году в сопоставимых ценах на 101 % к уровню 2014 года, ожидается объем оборота в сумме до 34 428,44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К 2017 году оборот розничной торговли составит 39 535,82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w:t>
      </w:r>
    </w:p>
    <w:p w:rsidR="00311124" w:rsidRPr="00EC20F8" w:rsidRDefault="00311124" w:rsidP="00311124">
      <w:pPr>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Тепы роста непродовольственных товаров будут незначительно опережать динамику роста продовольственных товаров, но тенденции преобладания  доли продаж продовольственных товаров в общем объеме товарооборота сохранятся, но снизятся по первому варианту с 56,50 % в 2013 году до 56,00 % в 2017 году, по второму варианту - с 56,50 % в 2013 году до 55,50 % в 2017 году.</w:t>
      </w:r>
      <w:proofErr w:type="gramEnd"/>
    </w:p>
    <w:p w:rsidR="00311124" w:rsidRPr="00EC20F8" w:rsidRDefault="00311124" w:rsidP="00311124">
      <w:pPr>
        <w:spacing w:line="240" w:lineRule="auto"/>
        <w:ind w:firstLine="708"/>
        <w:jc w:val="both"/>
        <w:rPr>
          <w:rFonts w:ascii="Times New Roman" w:eastAsia="Times New Roman" w:hAnsi="Times New Roman"/>
          <w:sz w:val="28"/>
          <w:szCs w:val="28"/>
        </w:rPr>
      </w:pPr>
      <w:r w:rsidRPr="00EC20F8">
        <w:rPr>
          <w:rFonts w:ascii="Times New Roman" w:hAnsi="Times New Roman" w:cs="Times New Roman"/>
          <w:sz w:val="28"/>
          <w:szCs w:val="28"/>
        </w:rPr>
        <w:t>В прогнозный период прогнозируется увеличение, в структуре оборота розничной торговли, доли продажи товаров на розничных рынках и ярмарках.</w:t>
      </w:r>
      <w:r w:rsidRPr="00EC20F8">
        <w:rPr>
          <w:rFonts w:ascii="Times New Roman" w:eastAsia="Times New Roman" w:hAnsi="Times New Roman"/>
          <w:sz w:val="28"/>
          <w:szCs w:val="28"/>
        </w:rPr>
        <w:t xml:space="preserve"> </w:t>
      </w:r>
    </w:p>
    <w:p w:rsidR="00C27813" w:rsidRPr="00EC20F8" w:rsidRDefault="00C27813" w:rsidP="00C27813">
      <w:pPr>
        <w:spacing w:line="240" w:lineRule="auto"/>
        <w:ind w:firstLine="708"/>
        <w:jc w:val="both"/>
        <w:rPr>
          <w:rFonts w:ascii="Times New Roman" w:hAnsi="Times New Roman"/>
          <w:sz w:val="28"/>
          <w:szCs w:val="28"/>
        </w:rPr>
      </w:pPr>
      <w:r w:rsidRPr="00EC20F8">
        <w:rPr>
          <w:rFonts w:ascii="Times New Roman" w:eastAsia="Times New Roman" w:hAnsi="Times New Roman"/>
          <w:sz w:val="28"/>
          <w:szCs w:val="28"/>
        </w:rPr>
        <w:t>В</w:t>
      </w:r>
      <w:r w:rsidR="00311124" w:rsidRPr="00EC20F8">
        <w:rPr>
          <w:rFonts w:ascii="Times New Roman" w:eastAsia="Times New Roman" w:hAnsi="Times New Roman"/>
          <w:sz w:val="28"/>
          <w:szCs w:val="28"/>
        </w:rPr>
        <w:t xml:space="preserve"> 2013 году был</w:t>
      </w:r>
      <w:r w:rsidRPr="00EC20F8">
        <w:rPr>
          <w:rFonts w:ascii="Times New Roman" w:eastAsia="Times New Roman" w:hAnsi="Times New Roman"/>
          <w:sz w:val="28"/>
          <w:szCs w:val="28"/>
        </w:rPr>
        <w:t>а</w:t>
      </w:r>
      <w:r w:rsidR="00311124" w:rsidRPr="00EC20F8">
        <w:rPr>
          <w:rFonts w:ascii="Times New Roman" w:eastAsia="Times New Roman" w:hAnsi="Times New Roman"/>
          <w:sz w:val="28"/>
          <w:szCs w:val="28"/>
        </w:rPr>
        <w:t xml:space="preserve"> организованн</w:t>
      </w:r>
      <w:r w:rsidRPr="00EC20F8">
        <w:rPr>
          <w:rFonts w:ascii="Times New Roman" w:eastAsia="Times New Roman" w:hAnsi="Times New Roman"/>
          <w:sz w:val="28"/>
          <w:szCs w:val="28"/>
        </w:rPr>
        <w:t xml:space="preserve">а </w:t>
      </w:r>
      <w:r w:rsidR="00311124" w:rsidRPr="00EC20F8">
        <w:rPr>
          <w:rFonts w:ascii="Times New Roman" w:eastAsia="Times New Roman" w:hAnsi="Times New Roman"/>
          <w:sz w:val="28"/>
          <w:szCs w:val="28"/>
        </w:rPr>
        <w:t>ярмарк</w:t>
      </w:r>
      <w:r w:rsidRPr="00EC20F8">
        <w:rPr>
          <w:rFonts w:ascii="Times New Roman" w:eastAsia="Times New Roman" w:hAnsi="Times New Roman"/>
          <w:sz w:val="28"/>
          <w:szCs w:val="28"/>
        </w:rPr>
        <w:t>а «Дары Камчатки»</w:t>
      </w:r>
      <w:r w:rsidR="00311124" w:rsidRPr="00EC20F8">
        <w:rPr>
          <w:rFonts w:ascii="Times New Roman" w:eastAsia="Times New Roman" w:hAnsi="Times New Roman"/>
          <w:sz w:val="28"/>
          <w:szCs w:val="28"/>
        </w:rPr>
        <w:t xml:space="preserve">, </w:t>
      </w:r>
      <w:r w:rsidRPr="00EC20F8">
        <w:rPr>
          <w:rFonts w:ascii="Times New Roman" w:eastAsia="Times New Roman" w:hAnsi="Times New Roman"/>
          <w:sz w:val="28"/>
          <w:szCs w:val="28"/>
        </w:rPr>
        <w:t>в которой приняли участие 19 субъектов МСП, 35 владельцев личных подсобных хозяйств и граждан, занимающихся огородничеством.</w:t>
      </w:r>
      <w:r w:rsidRPr="00EC20F8">
        <w:rPr>
          <w:rFonts w:ascii="Times New Roman" w:hAnsi="Times New Roman"/>
          <w:sz w:val="28"/>
          <w:szCs w:val="28"/>
        </w:rPr>
        <w:t xml:space="preserve"> </w:t>
      </w:r>
    </w:p>
    <w:p w:rsidR="00C27813" w:rsidRPr="00EC20F8" w:rsidRDefault="00C27813" w:rsidP="00C27813">
      <w:pPr>
        <w:spacing w:line="240" w:lineRule="auto"/>
        <w:ind w:firstLine="708"/>
        <w:jc w:val="both"/>
        <w:rPr>
          <w:rFonts w:ascii="Times New Roman" w:hAnsi="Times New Roman"/>
          <w:sz w:val="28"/>
          <w:szCs w:val="28"/>
        </w:rPr>
      </w:pPr>
      <w:r w:rsidRPr="00EC20F8">
        <w:rPr>
          <w:rFonts w:ascii="Times New Roman" w:hAnsi="Times New Roman"/>
          <w:sz w:val="28"/>
          <w:szCs w:val="28"/>
        </w:rPr>
        <w:t>Кроме того в капитальных зданиях на постоянной основе функционирует 3 ярмарки местных товаропроизводителей с участием членов НП «Пищевик Камчатки»</w:t>
      </w:r>
    </w:p>
    <w:p w:rsidR="00C27813" w:rsidRPr="00EC20F8" w:rsidRDefault="00C27813" w:rsidP="00C27813">
      <w:pPr>
        <w:spacing w:line="240" w:lineRule="auto"/>
        <w:ind w:firstLine="708"/>
        <w:jc w:val="both"/>
        <w:rPr>
          <w:rFonts w:ascii="Times New Roman" w:hAnsi="Times New Roman"/>
          <w:sz w:val="28"/>
          <w:szCs w:val="28"/>
        </w:rPr>
      </w:pPr>
      <w:r w:rsidRPr="00EC20F8">
        <w:rPr>
          <w:rFonts w:ascii="Times New Roman" w:hAnsi="Times New Roman"/>
          <w:sz w:val="28"/>
          <w:szCs w:val="28"/>
        </w:rPr>
        <w:t>В 2014 году планируются к проведению 3 ярмарки по продаже сельхо</w:t>
      </w:r>
      <w:proofErr w:type="gramStart"/>
      <w:r w:rsidRPr="00EC20F8">
        <w:rPr>
          <w:rFonts w:ascii="Times New Roman" w:hAnsi="Times New Roman"/>
          <w:sz w:val="28"/>
          <w:szCs w:val="28"/>
        </w:rPr>
        <w:t>з-</w:t>
      </w:r>
      <w:proofErr w:type="gramEnd"/>
      <w:r w:rsidRPr="00EC20F8">
        <w:rPr>
          <w:rFonts w:ascii="Times New Roman" w:hAnsi="Times New Roman"/>
          <w:sz w:val="28"/>
          <w:szCs w:val="28"/>
        </w:rPr>
        <w:t xml:space="preserve"> продукции и рассмотрение возможности открытия дополнительно 3 ярмарок местных товаропроизводителей.</w:t>
      </w:r>
    </w:p>
    <w:p w:rsidR="00311124" w:rsidRPr="00EC20F8" w:rsidRDefault="00311124" w:rsidP="00311124">
      <w:pPr>
        <w:pStyle w:val="31"/>
        <w:widowControl w:val="0"/>
        <w:spacing w:after="0"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Ожидается, что в 2015-2017 годах наибольший удельный вес в структуре оборота розничной торговли городского округа по-прежнему будет занимать объем продаж товаров, реализуемых торгующими организациями и индивидуальными предпринимателями вне рынка.</w:t>
      </w:r>
    </w:p>
    <w:p w:rsidR="00311124" w:rsidRPr="00EC20F8" w:rsidRDefault="00311124" w:rsidP="00311124">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b/>
          <w:bCs/>
          <w:i/>
          <w:iCs/>
          <w:sz w:val="28"/>
          <w:szCs w:val="28"/>
        </w:rPr>
        <w:t>Оборот общественного питания</w:t>
      </w:r>
      <w:r w:rsidRPr="00EC20F8">
        <w:rPr>
          <w:rFonts w:ascii="Times New Roman" w:hAnsi="Times New Roman" w:cs="Times New Roman"/>
          <w:b/>
          <w:i/>
          <w:sz w:val="28"/>
          <w:szCs w:val="28"/>
        </w:rPr>
        <w:t xml:space="preserve"> в 2013 году</w:t>
      </w:r>
      <w:r w:rsidRPr="00EC20F8">
        <w:rPr>
          <w:rFonts w:ascii="Times New Roman" w:hAnsi="Times New Roman" w:cs="Times New Roman"/>
          <w:sz w:val="28"/>
          <w:szCs w:val="28"/>
        </w:rPr>
        <w:t xml:space="preserve"> составил 2 985,1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что на 3,2 % ниже уровня 2012 года. Услуги общественного питания населению предоставляют 212 предприятий общественного питания, включающие </w:t>
      </w:r>
      <w:r w:rsidRPr="00EC20F8">
        <w:t xml:space="preserve"> </w:t>
      </w:r>
      <w:r w:rsidRPr="00EC20F8">
        <w:rPr>
          <w:rFonts w:ascii="Times New Roman" w:hAnsi="Times New Roman" w:cs="Times New Roman"/>
          <w:sz w:val="28"/>
          <w:szCs w:val="28"/>
        </w:rPr>
        <w:t>14 701 мест.</w:t>
      </w:r>
      <w:r w:rsidRPr="00EC20F8">
        <w:t xml:space="preserve"> </w:t>
      </w:r>
      <w:proofErr w:type="gramStart"/>
      <w:r w:rsidRPr="00EC20F8">
        <w:rPr>
          <w:rFonts w:ascii="Times New Roman" w:hAnsi="Times New Roman" w:cs="Times New Roman"/>
          <w:sz w:val="28"/>
          <w:szCs w:val="28"/>
        </w:rPr>
        <w:t>Большое значение в пополнении оборота и оказании услуг населению отводится мелкорозничной сети предприятий общественного питания, летним кафе по продаже продукции общественного питания, точкам по продаже прохладительных напитков.</w:t>
      </w:r>
      <w:proofErr w:type="gramEnd"/>
    </w:p>
    <w:p w:rsidR="00311124" w:rsidRPr="00EC20F8" w:rsidRDefault="00311124" w:rsidP="00311124">
      <w:pPr>
        <w:autoSpaceDE w:val="0"/>
        <w:autoSpaceDN w:val="0"/>
        <w:adjustRightInd w:val="0"/>
        <w:spacing w:line="240" w:lineRule="auto"/>
        <w:ind w:firstLine="709"/>
        <w:jc w:val="both"/>
        <w:rPr>
          <w:rFonts w:ascii="Times New Roman" w:hAnsi="Times New Roman" w:cs="Times New Roman"/>
          <w:bCs/>
          <w:iCs/>
          <w:sz w:val="28"/>
          <w:szCs w:val="28"/>
        </w:rPr>
      </w:pPr>
      <w:r w:rsidRPr="00EC20F8">
        <w:rPr>
          <w:rFonts w:ascii="Times New Roman" w:hAnsi="Times New Roman" w:cs="Times New Roman"/>
          <w:sz w:val="28"/>
          <w:szCs w:val="28"/>
        </w:rPr>
        <w:t>Фактическая обеспеченность предприятиями общественного питания в целом по городскому округу составляет 80 мест на 1 000 жителей против 40 мест по нормативу. Сеть предприятий общественного питания размещена неравномерно.</w:t>
      </w:r>
      <w:r w:rsidRPr="00EC20F8">
        <w:t xml:space="preserve"> </w:t>
      </w:r>
      <w:r w:rsidRPr="00EC20F8">
        <w:rPr>
          <w:rFonts w:ascii="Times New Roman" w:hAnsi="Times New Roman" w:cs="Times New Roman"/>
          <w:sz w:val="28"/>
          <w:szCs w:val="28"/>
        </w:rPr>
        <w:t>Большинство предприятий сосредоточено на «красной линии» городского округа. Расширение сети общественного питания, по-прежнему, происходит за счет привлечения частного капитала.</w:t>
      </w:r>
    </w:p>
    <w:p w:rsidR="00311124" w:rsidRPr="00EC20F8" w:rsidRDefault="00311124" w:rsidP="00311124">
      <w:pPr>
        <w:ind w:firstLine="709"/>
        <w:jc w:val="both"/>
        <w:rPr>
          <w:rFonts w:ascii="Times New Roman" w:hAnsi="Times New Roman" w:cs="Times New Roman"/>
          <w:sz w:val="28"/>
          <w:szCs w:val="28"/>
        </w:rPr>
      </w:pPr>
      <w:r w:rsidRPr="00EC20F8">
        <w:rPr>
          <w:rFonts w:ascii="Times New Roman" w:hAnsi="Times New Roman" w:cs="Times New Roman"/>
          <w:b/>
          <w:sz w:val="28"/>
          <w:szCs w:val="28"/>
        </w:rPr>
        <w:t>По оценке</w:t>
      </w:r>
      <w:r w:rsidRPr="00EC20F8">
        <w:rPr>
          <w:rFonts w:ascii="Times New Roman" w:hAnsi="Times New Roman" w:cs="Times New Roman"/>
          <w:sz w:val="28"/>
          <w:szCs w:val="28"/>
        </w:rPr>
        <w:t xml:space="preserve"> объем реализации продукции и услуг общественного питания в текущем году </w:t>
      </w:r>
      <w:proofErr w:type="gramStart"/>
      <w:r w:rsidRPr="00EC20F8">
        <w:rPr>
          <w:rFonts w:ascii="Times New Roman" w:hAnsi="Times New Roman" w:cs="Times New Roman"/>
          <w:sz w:val="28"/>
          <w:szCs w:val="28"/>
        </w:rPr>
        <w:t>в</w:t>
      </w:r>
      <w:proofErr w:type="gramEnd"/>
      <w:r w:rsidRPr="00EC20F8">
        <w:rPr>
          <w:rFonts w:ascii="Times New Roman" w:hAnsi="Times New Roman" w:cs="Times New Roman"/>
          <w:sz w:val="28"/>
          <w:szCs w:val="28"/>
        </w:rPr>
        <w:t xml:space="preserve"> составит 99,3 % к уровню 2013 года.</w:t>
      </w:r>
    </w:p>
    <w:p w:rsidR="00311124" w:rsidRPr="00EC20F8" w:rsidRDefault="00311124" w:rsidP="00311124">
      <w:pPr>
        <w:ind w:firstLine="709"/>
        <w:jc w:val="both"/>
        <w:rPr>
          <w:rFonts w:ascii="Times New Roman" w:hAnsi="Times New Roman" w:cs="Times New Roman"/>
          <w:sz w:val="28"/>
          <w:szCs w:val="28"/>
        </w:rPr>
      </w:pPr>
      <w:r w:rsidRPr="00EC20F8">
        <w:rPr>
          <w:rFonts w:ascii="Times New Roman" w:hAnsi="Times New Roman" w:cs="Times New Roman"/>
          <w:sz w:val="28"/>
          <w:szCs w:val="28"/>
        </w:rPr>
        <w:t>В последующие три года при ожида</w:t>
      </w:r>
      <w:r w:rsidR="00DE2F76" w:rsidRPr="00EC20F8">
        <w:rPr>
          <w:rFonts w:ascii="Times New Roman" w:hAnsi="Times New Roman" w:cs="Times New Roman"/>
          <w:sz w:val="28"/>
          <w:szCs w:val="28"/>
        </w:rPr>
        <w:t xml:space="preserve">емой </w:t>
      </w:r>
      <w:r w:rsidRPr="00EC20F8">
        <w:rPr>
          <w:rFonts w:ascii="Times New Roman" w:hAnsi="Times New Roman" w:cs="Times New Roman"/>
          <w:sz w:val="28"/>
          <w:szCs w:val="28"/>
        </w:rPr>
        <w:t>инфляции от 6,6 % до 7 %</w:t>
      </w:r>
      <w:r w:rsidRPr="00EC20F8">
        <w:t xml:space="preserve"> </w:t>
      </w:r>
      <w:r w:rsidRPr="00EC20F8">
        <w:rPr>
          <w:rFonts w:ascii="Times New Roman" w:hAnsi="Times New Roman" w:cs="Times New Roman"/>
          <w:sz w:val="28"/>
          <w:szCs w:val="28"/>
        </w:rPr>
        <w:t>увеличение оборота общественного питания (в сопоставимой оценке) не прогнозируется. По умеренно-оптимистичному прогнозу по мере роста денежных доходов населения оборот общественного питания к 2017 году приобретет положительную динамику.</w:t>
      </w:r>
    </w:p>
    <w:p w:rsidR="00311124" w:rsidRPr="00EC20F8" w:rsidRDefault="00311124" w:rsidP="00311124">
      <w:pPr>
        <w:spacing w:line="240" w:lineRule="auto"/>
        <w:ind w:firstLine="709"/>
        <w:jc w:val="both"/>
        <w:rPr>
          <w:rFonts w:ascii="Times New Roman" w:hAnsi="Times New Roman" w:cs="Times New Roman"/>
          <w:sz w:val="28"/>
          <w:szCs w:val="28"/>
        </w:rPr>
      </w:pPr>
      <w:r w:rsidRPr="00EC20F8">
        <w:rPr>
          <w:rFonts w:ascii="Times New Roman" w:hAnsi="Times New Roman" w:cs="Times New Roman"/>
          <w:bCs/>
          <w:iCs/>
          <w:sz w:val="28"/>
          <w:szCs w:val="28"/>
        </w:rPr>
        <w:t xml:space="preserve">По прогнозу, </w:t>
      </w:r>
      <w:r w:rsidRPr="00EC20F8">
        <w:rPr>
          <w:rFonts w:ascii="Times New Roman" w:hAnsi="Times New Roman" w:cs="Times New Roman"/>
          <w:sz w:val="28"/>
          <w:szCs w:val="28"/>
        </w:rPr>
        <w:t xml:space="preserve">к концу 2017 года оборот общественного питания по первому консервативному варианту  составит 3 810,81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по умеренно-оптимистичному 3 853,51млн рублей.</w:t>
      </w:r>
    </w:p>
    <w:p w:rsidR="00311124" w:rsidRPr="00EC20F8" w:rsidRDefault="00311124" w:rsidP="00311124">
      <w:pPr>
        <w:spacing w:after="80" w:line="240" w:lineRule="auto"/>
        <w:ind w:firstLine="709"/>
        <w:jc w:val="both"/>
        <w:rPr>
          <w:rFonts w:ascii="Times New Roman" w:hAnsi="Times New Roman" w:cs="Times New Roman"/>
          <w:sz w:val="28"/>
          <w:szCs w:val="28"/>
          <w:lang w:eastAsia="ru-RU"/>
        </w:rPr>
      </w:pPr>
      <w:r w:rsidRPr="00EC20F8">
        <w:rPr>
          <w:rFonts w:ascii="Times New Roman" w:hAnsi="Times New Roman" w:cs="Times New Roman"/>
          <w:b/>
          <w:bCs/>
          <w:i/>
          <w:iCs/>
          <w:sz w:val="28"/>
          <w:szCs w:val="28"/>
        </w:rPr>
        <w:t>На рынке платных услуг населению</w:t>
      </w:r>
      <w:r w:rsidRPr="00EC20F8">
        <w:rPr>
          <w:rFonts w:ascii="Times New Roman" w:hAnsi="Times New Roman" w:cs="Times New Roman"/>
          <w:sz w:val="28"/>
          <w:szCs w:val="28"/>
        </w:rPr>
        <w:t xml:space="preserve"> в течение </w:t>
      </w:r>
      <w:proofErr w:type="gramStart"/>
      <w:r w:rsidRPr="00EC20F8">
        <w:rPr>
          <w:rFonts w:ascii="Times New Roman" w:hAnsi="Times New Roman" w:cs="Times New Roman"/>
          <w:sz w:val="28"/>
          <w:szCs w:val="28"/>
        </w:rPr>
        <w:t>ряда предшествующих лет динамика оборота</w:t>
      </w:r>
      <w:proofErr w:type="gramEnd"/>
      <w:r w:rsidRPr="00EC20F8">
        <w:rPr>
          <w:rFonts w:ascii="Times New Roman" w:hAnsi="Times New Roman" w:cs="Times New Roman"/>
          <w:sz w:val="28"/>
          <w:szCs w:val="28"/>
        </w:rPr>
        <w:t xml:space="preserve"> характеризовалась относительной стабильностью. Уровень и динамика цен на платные услуги являются основными факторами, влияющими на потребительский спрос. За 2013 год населению оказано платных услуг по всем каналам реализации на сумму </w:t>
      </w:r>
      <w:r w:rsidRPr="00EC20F8">
        <w:rPr>
          <w:rFonts w:ascii="Times New Roman" w:hAnsi="Times New Roman" w:cs="Times New Roman"/>
          <w:sz w:val="28"/>
          <w:szCs w:val="28"/>
          <w:lang w:eastAsia="ru-RU"/>
        </w:rPr>
        <w:t xml:space="preserve">19 804,2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что превышает уровень 2012 года в сопоставимых ценах на 5,40. </w:t>
      </w:r>
      <w:r w:rsidRPr="00EC20F8">
        <w:rPr>
          <w:rFonts w:ascii="Times New Roman" w:hAnsi="Times New Roman" w:cs="Times New Roman"/>
          <w:iCs/>
          <w:sz w:val="28"/>
          <w:szCs w:val="28"/>
        </w:rPr>
        <w:t>Объем платных услуг населению городского округа</w:t>
      </w:r>
      <w:r w:rsidRPr="00EC20F8">
        <w:rPr>
          <w:rFonts w:ascii="Times New Roman" w:hAnsi="Times New Roman" w:cs="Times New Roman"/>
          <w:sz w:val="28"/>
          <w:szCs w:val="28"/>
        </w:rPr>
        <w:t xml:space="preserve"> показан на рисунке 5.4.</w:t>
      </w:r>
      <w:r w:rsidRPr="00EC20F8">
        <w:rPr>
          <w:rFonts w:ascii="Times New Roman" w:hAnsi="Times New Roman" w:cs="Times New Roman"/>
          <w:sz w:val="28"/>
          <w:szCs w:val="28"/>
          <w:lang w:eastAsia="ru-RU"/>
        </w:rPr>
        <w:t xml:space="preserve"> </w:t>
      </w:r>
    </w:p>
    <w:p w:rsidR="00311124" w:rsidRPr="00EC20F8" w:rsidRDefault="00311124" w:rsidP="00311124">
      <w:pPr>
        <w:spacing w:line="240" w:lineRule="auto"/>
        <w:jc w:val="center"/>
        <w:rPr>
          <w:rFonts w:ascii="Times New Roman" w:hAnsi="Times New Roman" w:cs="Times New Roman"/>
          <w:i/>
          <w:iCs/>
          <w:sz w:val="24"/>
          <w:szCs w:val="24"/>
        </w:rPr>
      </w:pPr>
      <w:r w:rsidRPr="00EC20F8">
        <w:rPr>
          <w:rFonts w:ascii="Times New Roman" w:hAnsi="Times New Roman" w:cs="Times New Roman"/>
          <w:i/>
          <w:iCs/>
          <w:noProof/>
          <w:sz w:val="24"/>
          <w:szCs w:val="24"/>
          <w:bdr w:val="single" w:sz="4" w:space="0" w:color="auto"/>
          <w:lang w:eastAsia="ru-RU"/>
        </w:rPr>
        <w:drawing>
          <wp:inline distT="0" distB="0" distL="0" distR="0">
            <wp:extent cx="5686425" cy="2190750"/>
            <wp:effectExtent l="0" t="0" r="0" b="0"/>
            <wp:docPr id="27"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11124" w:rsidRPr="00EC20F8" w:rsidRDefault="00311124" w:rsidP="00311124">
      <w:pPr>
        <w:spacing w:line="240" w:lineRule="auto"/>
        <w:jc w:val="center"/>
        <w:rPr>
          <w:rFonts w:ascii="Times New Roman" w:hAnsi="Times New Roman" w:cs="Times New Roman"/>
          <w:i/>
          <w:iCs/>
          <w:sz w:val="8"/>
          <w:szCs w:val="8"/>
        </w:rPr>
      </w:pPr>
    </w:p>
    <w:p w:rsidR="00311124" w:rsidRPr="00EC20F8" w:rsidRDefault="00311124" w:rsidP="00311124">
      <w:pPr>
        <w:spacing w:line="240" w:lineRule="auto"/>
        <w:jc w:val="center"/>
        <w:rPr>
          <w:rFonts w:ascii="Times New Roman" w:hAnsi="Times New Roman" w:cs="Times New Roman"/>
          <w:i/>
          <w:iCs/>
          <w:sz w:val="24"/>
          <w:szCs w:val="24"/>
        </w:rPr>
      </w:pPr>
      <w:r w:rsidRPr="00EC20F8">
        <w:rPr>
          <w:rFonts w:ascii="Times New Roman" w:hAnsi="Times New Roman" w:cs="Times New Roman"/>
          <w:i/>
          <w:iCs/>
          <w:sz w:val="24"/>
          <w:szCs w:val="24"/>
        </w:rPr>
        <w:t>Рис. 5.</w:t>
      </w:r>
      <w:r w:rsidR="00344EFF" w:rsidRPr="00EC20F8">
        <w:rPr>
          <w:rFonts w:ascii="Times New Roman" w:hAnsi="Times New Roman" w:cs="Times New Roman"/>
          <w:i/>
          <w:iCs/>
          <w:sz w:val="24"/>
          <w:szCs w:val="24"/>
        </w:rPr>
        <w:t>3</w:t>
      </w:r>
      <w:r w:rsidRPr="00EC20F8">
        <w:rPr>
          <w:rFonts w:ascii="Times New Roman" w:hAnsi="Times New Roman" w:cs="Times New Roman"/>
          <w:i/>
          <w:iCs/>
          <w:sz w:val="24"/>
          <w:szCs w:val="24"/>
        </w:rPr>
        <w:t xml:space="preserve">. Объем платных услуг населению городского округа, </w:t>
      </w:r>
      <w:proofErr w:type="spellStart"/>
      <w:proofErr w:type="gramStart"/>
      <w:r w:rsidRPr="00EC20F8">
        <w:rPr>
          <w:rFonts w:ascii="Times New Roman" w:hAnsi="Times New Roman" w:cs="Times New Roman"/>
          <w:i/>
          <w:iCs/>
          <w:sz w:val="24"/>
          <w:szCs w:val="24"/>
        </w:rPr>
        <w:t>млн</w:t>
      </w:r>
      <w:proofErr w:type="spellEnd"/>
      <w:proofErr w:type="gramEnd"/>
      <w:r w:rsidRPr="00EC20F8">
        <w:rPr>
          <w:rFonts w:ascii="Times New Roman" w:hAnsi="Times New Roman" w:cs="Times New Roman"/>
          <w:i/>
          <w:iCs/>
          <w:sz w:val="24"/>
          <w:szCs w:val="24"/>
        </w:rPr>
        <w:t xml:space="preserve"> рублей</w:t>
      </w:r>
    </w:p>
    <w:p w:rsidR="00311124" w:rsidRPr="00EC20F8" w:rsidRDefault="00311124" w:rsidP="00311124">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Основное влияние на формирование объема платных услуг оказывают услуги «обязательного» характера: транспортные, услуги связи, жилищные и коммунальные. Совокупная доля данных видов услуг составила в 2013 году 79,4 % общего объема потребляемых услуг.</w:t>
      </w:r>
    </w:p>
    <w:p w:rsidR="00311124" w:rsidRPr="00EC20F8" w:rsidRDefault="00311124" w:rsidP="00311124">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Объем транспортных услуг в 2013 году составил </w:t>
      </w:r>
      <w:r w:rsidRPr="00EC20F8">
        <w:rPr>
          <w:rFonts w:ascii="Times New Roman" w:hAnsi="Times New Roman" w:cs="Times New Roman"/>
          <w:sz w:val="28"/>
          <w:szCs w:val="28"/>
          <w:lang w:eastAsia="ru-RU"/>
        </w:rPr>
        <w:t>3 497,3</w:t>
      </w:r>
      <w:r w:rsidRPr="00EC20F8">
        <w:rPr>
          <w:rFonts w:ascii="Times New Roman" w:hAnsi="Times New Roman" w:cs="Times New Roman"/>
          <w:sz w:val="18"/>
          <w:szCs w:val="18"/>
          <w:lang w:eastAsia="ru-RU"/>
        </w:rPr>
        <w:t xml:space="preserve">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что в сопоставимых ценах к предыдущему году составило 99,3</w:t>
      </w:r>
      <w:r w:rsidR="00DE2F76" w:rsidRPr="00EC20F8">
        <w:rPr>
          <w:rFonts w:ascii="Times New Roman" w:hAnsi="Times New Roman" w:cs="Times New Roman"/>
          <w:sz w:val="28"/>
          <w:szCs w:val="28"/>
        </w:rPr>
        <w:t xml:space="preserve"> </w:t>
      </w:r>
      <w:r w:rsidRPr="00EC20F8">
        <w:rPr>
          <w:rFonts w:ascii="Times New Roman" w:hAnsi="Times New Roman" w:cs="Times New Roman"/>
          <w:sz w:val="28"/>
          <w:szCs w:val="28"/>
        </w:rPr>
        <w:t>%. Долевая составляющая транспортных услуг (17,7 %) в общем объеме услуг увеличилась в 2013 году на 1,0 %.</w:t>
      </w:r>
    </w:p>
    <w:p w:rsidR="00311124" w:rsidRPr="00EC20F8" w:rsidRDefault="00311124" w:rsidP="00311124">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Устойчиво доминирующие в структуре платных услуг жилищные и коммунальные услуги в совокупности составили 40,5 % (в 2012 - 36,9 %) общей суммы платных услуг за год и сложились в объеме: жилищные услуги – </w:t>
      </w:r>
      <w:r w:rsidRPr="00EC20F8">
        <w:rPr>
          <w:rFonts w:ascii="Times New Roman" w:hAnsi="Times New Roman" w:cs="Times New Roman"/>
          <w:sz w:val="28"/>
          <w:szCs w:val="28"/>
          <w:lang w:eastAsia="ru-RU"/>
        </w:rPr>
        <w:t xml:space="preserve">1 907,6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(99,70% в сопоставимых ценах к уровню 2012 года), коммунальные</w:t>
      </w:r>
      <w:r w:rsidR="00DE2F76" w:rsidRPr="00EC20F8">
        <w:rPr>
          <w:rFonts w:ascii="Times New Roman" w:hAnsi="Times New Roman" w:cs="Times New Roman"/>
          <w:sz w:val="28"/>
          <w:szCs w:val="28"/>
        </w:rPr>
        <w:t xml:space="preserve"> – 6 128, 7 </w:t>
      </w:r>
      <w:proofErr w:type="spellStart"/>
      <w:r w:rsidR="00DE2F76" w:rsidRPr="00EC20F8">
        <w:rPr>
          <w:rFonts w:ascii="Times New Roman" w:hAnsi="Times New Roman" w:cs="Times New Roman"/>
          <w:sz w:val="28"/>
          <w:szCs w:val="28"/>
        </w:rPr>
        <w:t>млн</w:t>
      </w:r>
      <w:proofErr w:type="spellEnd"/>
      <w:r w:rsidR="00DE2F76" w:rsidRPr="00EC20F8">
        <w:rPr>
          <w:rFonts w:ascii="Times New Roman" w:hAnsi="Times New Roman" w:cs="Times New Roman"/>
          <w:sz w:val="28"/>
          <w:szCs w:val="28"/>
        </w:rPr>
        <w:t xml:space="preserve"> рублей (127, % </w:t>
      </w:r>
      <w:r w:rsidRPr="00EC20F8">
        <w:rPr>
          <w:rFonts w:ascii="Times New Roman" w:hAnsi="Times New Roman" w:cs="Times New Roman"/>
          <w:sz w:val="28"/>
          <w:szCs w:val="28"/>
        </w:rPr>
        <w:t>в сопоставимых ценах к 2012 году).</w:t>
      </w:r>
      <w:r w:rsidR="004F7668" w:rsidRPr="00EC20F8">
        <w:rPr>
          <w:rFonts w:ascii="Times New Roman" w:hAnsi="Times New Roman" w:cs="Times New Roman"/>
          <w:sz w:val="28"/>
          <w:szCs w:val="28"/>
        </w:rPr>
        <w:t xml:space="preserve"> </w:t>
      </w:r>
      <w:r w:rsidRPr="00EC20F8">
        <w:rPr>
          <w:rFonts w:ascii="Times New Roman" w:hAnsi="Times New Roman" w:cs="Times New Roman"/>
          <w:sz w:val="28"/>
          <w:szCs w:val="28"/>
        </w:rPr>
        <w:t xml:space="preserve">В 2013 году услуги связи увеличились в сопоставимых ценах к 2012 году на 101,10 %, и составили 4 209,72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w:t>
      </w:r>
    </w:p>
    <w:p w:rsidR="00311124" w:rsidRPr="00EC20F8" w:rsidRDefault="00311124" w:rsidP="00311124">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В структуре платных услуг доля бытовых услуг снизилась до 5,6</w:t>
      </w:r>
      <w:r w:rsidR="00DE2F76" w:rsidRPr="00EC20F8">
        <w:rPr>
          <w:rFonts w:ascii="Times New Roman" w:hAnsi="Times New Roman" w:cs="Times New Roman"/>
          <w:sz w:val="28"/>
          <w:szCs w:val="28"/>
        </w:rPr>
        <w:t xml:space="preserve"> </w:t>
      </w:r>
      <w:r w:rsidRPr="00EC20F8">
        <w:rPr>
          <w:rFonts w:ascii="Times New Roman" w:hAnsi="Times New Roman" w:cs="Times New Roman"/>
          <w:sz w:val="28"/>
          <w:szCs w:val="28"/>
        </w:rPr>
        <w:t xml:space="preserve">% против 5,8 % в 2012 году. </w:t>
      </w:r>
    </w:p>
    <w:p w:rsidR="00311124" w:rsidRPr="00EC20F8" w:rsidRDefault="00311124" w:rsidP="00311124">
      <w:pPr>
        <w:widowControl w:val="0"/>
        <w:spacing w:line="240" w:lineRule="auto"/>
        <w:ind w:firstLine="709"/>
        <w:jc w:val="center"/>
        <w:rPr>
          <w:rFonts w:ascii="Times New Roman" w:hAnsi="Times New Roman" w:cs="Times New Roman"/>
          <w:sz w:val="28"/>
          <w:szCs w:val="28"/>
        </w:rPr>
      </w:pPr>
      <w:r w:rsidRPr="00EC20F8">
        <w:rPr>
          <w:rFonts w:ascii="Times New Roman" w:hAnsi="Times New Roman" w:cs="Times New Roman"/>
          <w:sz w:val="28"/>
          <w:szCs w:val="28"/>
        </w:rPr>
        <w:t>Структура платных услуг населению представлена на рисунке. 5.5.</w:t>
      </w:r>
    </w:p>
    <w:p w:rsidR="00311124" w:rsidRPr="00EC20F8" w:rsidRDefault="00311124" w:rsidP="00311124">
      <w:pPr>
        <w:widowControl w:val="0"/>
        <w:spacing w:line="240" w:lineRule="auto"/>
        <w:ind w:firstLine="709"/>
        <w:jc w:val="both"/>
        <w:rPr>
          <w:rFonts w:ascii="Times New Roman" w:hAnsi="Times New Roman" w:cs="Times New Roman"/>
          <w:sz w:val="12"/>
          <w:szCs w:val="12"/>
        </w:rPr>
      </w:pPr>
    </w:p>
    <w:p w:rsidR="00311124" w:rsidRPr="00EC20F8" w:rsidRDefault="00311124" w:rsidP="00311124">
      <w:pPr>
        <w:widowControl w:val="0"/>
        <w:ind w:firstLine="709"/>
        <w:jc w:val="both"/>
        <w:rPr>
          <w:rFonts w:ascii="Times New Roman" w:hAnsi="Times New Roman" w:cs="Times New Roman"/>
          <w:sz w:val="28"/>
          <w:szCs w:val="28"/>
        </w:rPr>
      </w:pPr>
      <w:r w:rsidRPr="00EC20F8">
        <w:rPr>
          <w:rFonts w:ascii="Times New Roman" w:hAnsi="Times New Roman" w:cs="Times New Roman"/>
          <w:noProof/>
          <w:sz w:val="28"/>
          <w:szCs w:val="28"/>
          <w:bdr w:val="single" w:sz="4" w:space="0" w:color="auto"/>
          <w:lang w:eastAsia="ru-RU"/>
        </w:rPr>
        <w:drawing>
          <wp:inline distT="0" distB="0" distL="0" distR="0">
            <wp:extent cx="5486400" cy="2524125"/>
            <wp:effectExtent l="19050" t="0" r="0" b="0"/>
            <wp:docPr id="28"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311124" w:rsidRPr="00EC20F8" w:rsidRDefault="00311124" w:rsidP="00311124">
      <w:pPr>
        <w:widowControl w:val="0"/>
        <w:spacing w:line="240" w:lineRule="auto"/>
        <w:ind w:firstLine="709"/>
        <w:jc w:val="both"/>
        <w:rPr>
          <w:rFonts w:ascii="Times New Roman" w:hAnsi="Times New Roman" w:cs="Times New Roman"/>
          <w:sz w:val="8"/>
          <w:szCs w:val="8"/>
        </w:rPr>
      </w:pPr>
    </w:p>
    <w:p w:rsidR="00311124" w:rsidRPr="00EC20F8" w:rsidRDefault="00311124" w:rsidP="00311124">
      <w:pPr>
        <w:widowControl w:val="0"/>
        <w:ind w:firstLine="709"/>
        <w:jc w:val="center"/>
        <w:rPr>
          <w:rFonts w:ascii="Times New Roman" w:hAnsi="Times New Roman" w:cs="Times New Roman"/>
          <w:i/>
          <w:sz w:val="24"/>
          <w:szCs w:val="24"/>
        </w:rPr>
      </w:pPr>
      <w:r w:rsidRPr="00EC20F8">
        <w:rPr>
          <w:rFonts w:ascii="Times New Roman" w:hAnsi="Times New Roman" w:cs="Times New Roman"/>
          <w:i/>
          <w:sz w:val="24"/>
          <w:szCs w:val="24"/>
        </w:rPr>
        <w:t>Рис. 5.</w:t>
      </w:r>
      <w:r w:rsidR="00344EFF" w:rsidRPr="00EC20F8">
        <w:rPr>
          <w:rFonts w:ascii="Times New Roman" w:hAnsi="Times New Roman" w:cs="Times New Roman"/>
          <w:i/>
          <w:sz w:val="24"/>
          <w:szCs w:val="24"/>
        </w:rPr>
        <w:t>4</w:t>
      </w:r>
      <w:r w:rsidRPr="00EC20F8">
        <w:rPr>
          <w:rFonts w:ascii="Times New Roman" w:hAnsi="Times New Roman" w:cs="Times New Roman"/>
          <w:i/>
          <w:sz w:val="24"/>
          <w:szCs w:val="24"/>
        </w:rPr>
        <w:t xml:space="preserve">.Структура платных услуг населению городского округа в 2013 году, </w:t>
      </w:r>
      <w:proofErr w:type="gramStart"/>
      <w:r w:rsidRPr="00EC20F8">
        <w:rPr>
          <w:rFonts w:ascii="Times New Roman" w:hAnsi="Times New Roman" w:cs="Times New Roman"/>
          <w:i/>
          <w:sz w:val="24"/>
          <w:szCs w:val="24"/>
        </w:rPr>
        <w:t>в</w:t>
      </w:r>
      <w:proofErr w:type="gramEnd"/>
      <w:r w:rsidRPr="00EC20F8">
        <w:rPr>
          <w:rFonts w:ascii="Times New Roman" w:hAnsi="Times New Roman" w:cs="Times New Roman"/>
          <w:i/>
          <w:sz w:val="24"/>
          <w:szCs w:val="24"/>
        </w:rPr>
        <w:t xml:space="preserve"> %</w:t>
      </w:r>
    </w:p>
    <w:p w:rsidR="00311124" w:rsidRPr="00EC20F8" w:rsidRDefault="00311124" w:rsidP="00311124">
      <w:pPr>
        <w:widowControl w:val="0"/>
        <w:ind w:firstLine="709"/>
        <w:jc w:val="center"/>
        <w:rPr>
          <w:rFonts w:ascii="Times New Roman" w:hAnsi="Times New Roman" w:cs="Times New Roman"/>
          <w:i/>
          <w:sz w:val="12"/>
          <w:szCs w:val="12"/>
        </w:rPr>
      </w:pPr>
    </w:p>
    <w:p w:rsidR="004F7668" w:rsidRPr="00EC20F8" w:rsidRDefault="00311124" w:rsidP="004F7668">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В 2013 году объем бытовых услуг составил 1 107,8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на 100,70 % в физическом объеме выше уровня 2012 года. В расчете на одного жителя бытовых услуг оказано на сумму 6</w:t>
      </w:r>
      <w:r w:rsidR="00DE2F76" w:rsidRPr="00EC20F8">
        <w:rPr>
          <w:rFonts w:ascii="Times New Roman" w:hAnsi="Times New Roman" w:cs="Times New Roman"/>
          <w:sz w:val="28"/>
          <w:szCs w:val="28"/>
        </w:rPr>
        <w:t xml:space="preserve"> </w:t>
      </w:r>
      <w:r w:rsidRPr="00EC20F8">
        <w:rPr>
          <w:rFonts w:ascii="Times New Roman" w:hAnsi="Times New Roman" w:cs="Times New Roman"/>
          <w:sz w:val="28"/>
          <w:szCs w:val="28"/>
        </w:rPr>
        <w:t>081 рублей. Наибольший удельный вес в общем объеме бытовых услуг занимают услуги по ремонту и строительству жилья и других построек, по ремонту и техническому обслуживанию транспортных средств, машин и оборудования, парикмахерские и косметические услуги.</w:t>
      </w:r>
      <w:r w:rsidR="004F7668" w:rsidRPr="00EC20F8">
        <w:rPr>
          <w:rFonts w:ascii="Times New Roman" w:hAnsi="Times New Roman" w:cs="Times New Roman"/>
          <w:sz w:val="28"/>
          <w:szCs w:val="28"/>
        </w:rPr>
        <w:t xml:space="preserve"> </w:t>
      </w:r>
      <w:r w:rsidRPr="00EC20F8">
        <w:rPr>
          <w:rFonts w:ascii="Times New Roman" w:hAnsi="Times New Roman" w:cs="Times New Roman"/>
          <w:sz w:val="28"/>
          <w:szCs w:val="28"/>
        </w:rPr>
        <w:t>Структура бытовых услуг населению городского в 2013 году представлена на рисунке 5.</w:t>
      </w:r>
      <w:r w:rsidR="00344EFF" w:rsidRPr="00EC20F8">
        <w:rPr>
          <w:rFonts w:ascii="Times New Roman" w:hAnsi="Times New Roman" w:cs="Times New Roman"/>
          <w:sz w:val="28"/>
          <w:szCs w:val="28"/>
        </w:rPr>
        <w:t>5.</w:t>
      </w:r>
    </w:p>
    <w:p w:rsidR="004F7668" w:rsidRPr="00EC20F8" w:rsidRDefault="004F7668" w:rsidP="004F7668">
      <w:pPr>
        <w:widowControl w:val="0"/>
        <w:spacing w:line="240" w:lineRule="auto"/>
        <w:ind w:firstLine="709"/>
        <w:jc w:val="both"/>
        <w:rPr>
          <w:rFonts w:ascii="Times New Roman" w:hAnsi="Times New Roman" w:cs="Times New Roman"/>
          <w:sz w:val="12"/>
          <w:szCs w:val="12"/>
        </w:rPr>
      </w:pPr>
    </w:p>
    <w:p w:rsidR="00311124" w:rsidRPr="00EC20F8" w:rsidRDefault="00311124" w:rsidP="004F7668">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noProof/>
          <w:sz w:val="28"/>
          <w:szCs w:val="28"/>
          <w:bdr w:val="single" w:sz="4" w:space="0" w:color="auto"/>
          <w:lang w:eastAsia="ru-RU"/>
        </w:rPr>
        <w:drawing>
          <wp:inline distT="0" distB="0" distL="0" distR="0">
            <wp:extent cx="5457825" cy="2114550"/>
            <wp:effectExtent l="19050" t="0" r="0" b="0"/>
            <wp:docPr id="2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207AE1" w:rsidRPr="00EC20F8" w:rsidRDefault="004F7668" w:rsidP="00311124">
      <w:pPr>
        <w:widowControl w:val="0"/>
        <w:spacing w:line="240" w:lineRule="auto"/>
        <w:ind w:firstLine="709"/>
        <w:jc w:val="both"/>
        <w:rPr>
          <w:rFonts w:ascii="Times New Roman" w:hAnsi="Times New Roman" w:cs="Times New Roman"/>
          <w:b/>
          <w:bCs/>
          <w:i/>
          <w:iCs/>
          <w:sz w:val="24"/>
          <w:szCs w:val="24"/>
        </w:rPr>
      </w:pPr>
      <w:r w:rsidRPr="00EC20F8">
        <w:rPr>
          <w:rFonts w:ascii="Times New Roman" w:hAnsi="Times New Roman" w:cs="Times New Roman"/>
          <w:i/>
          <w:sz w:val="24"/>
          <w:szCs w:val="24"/>
        </w:rPr>
        <w:t>Рис. 5.5.</w:t>
      </w:r>
      <w:r w:rsidRPr="00EC20F8">
        <w:rPr>
          <w:rFonts w:ascii="Times New Roman" w:hAnsi="Times New Roman" w:cs="Times New Roman"/>
          <w:sz w:val="28"/>
          <w:szCs w:val="28"/>
        </w:rPr>
        <w:t xml:space="preserve"> </w:t>
      </w:r>
      <w:r w:rsidRPr="00EC20F8">
        <w:rPr>
          <w:rFonts w:ascii="Times New Roman" w:hAnsi="Times New Roman" w:cs="Times New Roman"/>
          <w:i/>
          <w:sz w:val="24"/>
          <w:szCs w:val="24"/>
        </w:rPr>
        <w:t xml:space="preserve">Структура бытовых услуг населению городского в 2013 году, </w:t>
      </w:r>
      <w:proofErr w:type="gramStart"/>
      <w:r w:rsidRPr="00EC20F8">
        <w:rPr>
          <w:rFonts w:ascii="Times New Roman" w:hAnsi="Times New Roman" w:cs="Times New Roman"/>
          <w:i/>
          <w:sz w:val="24"/>
          <w:szCs w:val="24"/>
        </w:rPr>
        <w:t>в</w:t>
      </w:r>
      <w:proofErr w:type="gramEnd"/>
      <w:r w:rsidRPr="00EC20F8">
        <w:rPr>
          <w:rFonts w:ascii="Times New Roman" w:hAnsi="Times New Roman" w:cs="Times New Roman"/>
          <w:i/>
          <w:sz w:val="24"/>
          <w:szCs w:val="24"/>
        </w:rPr>
        <w:t xml:space="preserve"> %</w:t>
      </w:r>
    </w:p>
    <w:p w:rsidR="00311124" w:rsidRPr="00EC20F8" w:rsidRDefault="00311124" w:rsidP="00311124">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b/>
          <w:bCs/>
          <w:i/>
          <w:iCs/>
          <w:sz w:val="28"/>
          <w:szCs w:val="28"/>
        </w:rPr>
        <w:t>По оценке, в 2014 году</w:t>
      </w:r>
      <w:r w:rsidRPr="00EC20F8">
        <w:rPr>
          <w:rFonts w:ascii="Times New Roman" w:hAnsi="Times New Roman" w:cs="Times New Roman"/>
          <w:bCs/>
          <w:iCs/>
          <w:sz w:val="28"/>
          <w:szCs w:val="28"/>
        </w:rPr>
        <w:t xml:space="preserve"> объем платных услуг </w:t>
      </w:r>
      <w:r w:rsidRPr="00EC20F8">
        <w:rPr>
          <w:rFonts w:ascii="Times New Roman" w:hAnsi="Times New Roman" w:cs="Times New Roman"/>
          <w:sz w:val="28"/>
          <w:szCs w:val="28"/>
        </w:rPr>
        <w:t xml:space="preserve">составит </w:t>
      </w:r>
      <w:r w:rsidRPr="00EC20F8">
        <w:rPr>
          <w:rFonts w:ascii="Times New Roman" w:hAnsi="Times New Roman" w:cs="Times New Roman"/>
          <w:sz w:val="28"/>
          <w:szCs w:val="28"/>
          <w:lang w:eastAsia="ru-RU"/>
        </w:rPr>
        <w:t>21 770,34</w:t>
      </w:r>
      <w:r w:rsidRPr="00EC20F8">
        <w:rPr>
          <w:rFonts w:ascii="Times New Roman" w:hAnsi="Times New Roman" w:cs="Times New Roman"/>
          <w:sz w:val="18"/>
          <w:szCs w:val="18"/>
          <w:lang w:eastAsia="ru-RU"/>
        </w:rPr>
        <w:t xml:space="preserve"> </w:t>
      </w:r>
      <w:proofErr w:type="spellStart"/>
      <w:proofErr w:type="gramStart"/>
      <w:r w:rsidR="00DE2F76" w:rsidRPr="00EC20F8">
        <w:rPr>
          <w:rFonts w:ascii="Times New Roman" w:hAnsi="Times New Roman" w:cs="Times New Roman"/>
          <w:sz w:val="28"/>
          <w:szCs w:val="28"/>
        </w:rPr>
        <w:t>млн</w:t>
      </w:r>
      <w:proofErr w:type="spellEnd"/>
      <w:proofErr w:type="gramEnd"/>
      <w:r w:rsidR="00DE2F76" w:rsidRPr="00EC20F8">
        <w:rPr>
          <w:rFonts w:ascii="Times New Roman" w:hAnsi="Times New Roman" w:cs="Times New Roman"/>
          <w:sz w:val="28"/>
          <w:szCs w:val="28"/>
        </w:rPr>
        <w:t xml:space="preserve"> рублей или 104 </w:t>
      </w:r>
      <w:r w:rsidRPr="00EC20F8">
        <w:rPr>
          <w:rFonts w:ascii="Times New Roman" w:hAnsi="Times New Roman" w:cs="Times New Roman"/>
          <w:sz w:val="28"/>
          <w:szCs w:val="28"/>
        </w:rPr>
        <w:t xml:space="preserve">% в сопоставимых ценах к 2013 году, объем бытовых услуг ожидается на уровне 1 207,43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w:t>
      </w:r>
    </w:p>
    <w:p w:rsidR="00311124" w:rsidRPr="00EC20F8" w:rsidRDefault="00311124" w:rsidP="00311124">
      <w:pPr>
        <w:spacing w:line="240" w:lineRule="auto"/>
        <w:ind w:firstLine="709"/>
        <w:jc w:val="both"/>
        <w:rPr>
          <w:rFonts w:ascii="Times New Roman" w:hAnsi="Times New Roman"/>
          <w:sz w:val="28"/>
          <w:szCs w:val="28"/>
        </w:rPr>
      </w:pPr>
      <w:r w:rsidRPr="00EC20F8">
        <w:rPr>
          <w:rFonts w:ascii="Times New Roman" w:hAnsi="Times New Roman"/>
          <w:sz w:val="28"/>
          <w:szCs w:val="28"/>
        </w:rPr>
        <w:t xml:space="preserve">В среднесрочной перспективе на динамику объема платных услуг населению наибольшее влияние будут оказывать рост денежных доходов населения и инфляция. </w:t>
      </w:r>
    </w:p>
    <w:p w:rsidR="00311124" w:rsidRPr="00EC20F8" w:rsidRDefault="00DE2F76" w:rsidP="00311124">
      <w:pPr>
        <w:spacing w:line="240" w:lineRule="auto"/>
        <w:ind w:firstLine="709"/>
        <w:jc w:val="both"/>
        <w:rPr>
          <w:rFonts w:ascii="Times New Roman" w:hAnsi="Times New Roman" w:cs="Times New Roman"/>
          <w:sz w:val="28"/>
          <w:szCs w:val="28"/>
        </w:rPr>
      </w:pPr>
      <w:r w:rsidRPr="00EC20F8">
        <w:rPr>
          <w:rFonts w:ascii="Times New Roman" w:hAnsi="Times New Roman"/>
          <w:sz w:val="28"/>
          <w:szCs w:val="28"/>
        </w:rPr>
        <w:t xml:space="preserve">Основные объемы </w:t>
      </w:r>
      <w:r w:rsidR="00311124" w:rsidRPr="00EC20F8">
        <w:rPr>
          <w:rFonts w:ascii="Times New Roman" w:hAnsi="Times New Roman"/>
          <w:sz w:val="28"/>
          <w:szCs w:val="28"/>
        </w:rPr>
        <w:t>платных услуг населению в среднесрочной перспективе по-прежнему будут формировать услуги связи, транспорта и жилищно-коммунального хозяйств</w:t>
      </w:r>
      <w:r w:rsidRPr="00EC20F8">
        <w:rPr>
          <w:rFonts w:ascii="Times New Roman" w:hAnsi="Times New Roman"/>
          <w:sz w:val="28"/>
          <w:szCs w:val="28"/>
        </w:rPr>
        <w:t xml:space="preserve">а, доля которых в объеме услуг </w:t>
      </w:r>
      <w:r w:rsidR="00311124" w:rsidRPr="00EC20F8">
        <w:rPr>
          <w:rFonts w:ascii="Times New Roman" w:hAnsi="Times New Roman"/>
          <w:sz w:val="28"/>
          <w:szCs w:val="28"/>
        </w:rPr>
        <w:t>будет увеличиваться.</w:t>
      </w:r>
    </w:p>
    <w:p w:rsidR="00311124" w:rsidRPr="00EC20F8" w:rsidRDefault="00311124" w:rsidP="00311124">
      <w:pPr>
        <w:spacing w:line="240" w:lineRule="auto"/>
        <w:ind w:firstLine="709"/>
        <w:jc w:val="both"/>
        <w:rPr>
          <w:rFonts w:ascii="Times New Roman" w:hAnsi="Times New Roman"/>
          <w:sz w:val="28"/>
          <w:szCs w:val="28"/>
        </w:rPr>
      </w:pPr>
      <w:proofErr w:type="gramStart"/>
      <w:r w:rsidRPr="00EC20F8">
        <w:rPr>
          <w:rFonts w:ascii="Times New Roman" w:hAnsi="Times New Roman"/>
          <w:sz w:val="28"/>
          <w:szCs w:val="28"/>
        </w:rPr>
        <w:t>Ситуация на рынке жилищно-коммунальных услуг в 2015 - 2017 годах будет складываться под влиянием сохранения устойчивого опережения роста цен и тарифов на жилищно-коммунальные услуги по сравнению с другими видами услуг и высокой доли неплатежей населения.</w:t>
      </w:r>
      <w:proofErr w:type="gramEnd"/>
      <w:r w:rsidRPr="00EC20F8">
        <w:rPr>
          <w:rFonts w:ascii="Times New Roman" w:hAnsi="Times New Roman" w:cs="Times New Roman"/>
          <w:sz w:val="28"/>
          <w:szCs w:val="28"/>
        </w:rPr>
        <w:t xml:space="preserve"> </w:t>
      </w:r>
      <w:proofErr w:type="gramStart"/>
      <w:r w:rsidRPr="00EC20F8">
        <w:rPr>
          <w:rFonts w:ascii="Times New Roman" w:hAnsi="Times New Roman" w:cs="Times New Roman"/>
          <w:sz w:val="28"/>
          <w:szCs w:val="28"/>
        </w:rPr>
        <w:t>Рост расходов населения на оплату жилищно-коммунальных услуг определяется параметрами тарифной политики в жилищно-коммунальной сфере в соответствии с концепцией Правительства Российской Федерации, предусматривающей переход от бюджетного дотирования к оплате в полном объеме жилищно-коммунальных услуг потребителями, при условии обеспечения адресной социальной защиты малообеспеченной части населения.</w:t>
      </w:r>
      <w:proofErr w:type="gramEnd"/>
      <w:r w:rsidRPr="00EC20F8">
        <w:rPr>
          <w:rFonts w:ascii="Times New Roman" w:hAnsi="Times New Roman" w:cs="Times New Roman"/>
          <w:sz w:val="28"/>
          <w:szCs w:val="28"/>
        </w:rPr>
        <w:t xml:space="preserve"> </w:t>
      </w:r>
      <w:r w:rsidRPr="00EC20F8">
        <w:rPr>
          <w:rFonts w:ascii="Times New Roman" w:hAnsi="Times New Roman"/>
          <w:sz w:val="28"/>
          <w:szCs w:val="28"/>
        </w:rPr>
        <w:t>В 2013 году количество семей городского округа, получающих только субсидии на оплату жилищно-коммунальных услуг, составило13 165 семей (в 2012 году – 14670  человек).</w:t>
      </w:r>
    </w:p>
    <w:p w:rsidR="00311124" w:rsidRPr="00EC20F8" w:rsidRDefault="00311124" w:rsidP="00311124">
      <w:pPr>
        <w:widowControl w:val="0"/>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Увеличение объема жилищно-коммунальных услуг, в значительной степени, обусловлено динамикой, устанавливаемой федеральными стандартами, долей платежей населения в покрытии затрат на оказание данных услуг.</w:t>
      </w:r>
      <w:proofErr w:type="gramEnd"/>
    </w:p>
    <w:p w:rsidR="00311124" w:rsidRPr="00EC20F8" w:rsidRDefault="00311124" w:rsidP="00311124">
      <w:pPr>
        <w:widowControl w:val="0"/>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b/>
          <w:i/>
          <w:sz w:val="28"/>
          <w:szCs w:val="28"/>
        </w:rPr>
        <w:t>Прогнозируется, что к 2017 году</w:t>
      </w:r>
      <w:r w:rsidRPr="00EC20F8">
        <w:rPr>
          <w:rFonts w:ascii="Times New Roman" w:hAnsi="Times New Roman" w:cs="Times New Roman"/>
          <w:sz w:val="28"/>
          <w:szCs w:val="28"/>
        </w:rPr>
        <w:t xml:space="preserve"> объем жили</w:t>
      </w:r>
      <w:r w:rsidR="00DE2F76" w:rsidRPr="00EC20F8">
        <w:rPr>
          <w:rFonts w:ascii="Times New Roman" w:hAnsi="Times New Roman" w:cs="Times New Roman"/>
          <w:sz w:val="28"/>
          <w:szCs w:val="28"/>
        </w:rPr>
        <w:t xml:space="preserve">щных услуг в действующих ценах </w:t>
      </w:r>
      <w:r w:rsidRPr="00EC20F8">
        <w:rPr>
          <w:rFonts w:ascii="Times New Roman" w:hAnsi="Times New Roman" w:cs="Times New Roman"/>
          <w:sz w:val="28"/>
          <w:szCs w:val="28"/>
        </w:rPr>
        <w:t>увелич</w:t>
      </w:r>
      <w:r w:rsidR="00DE2F76" w:rsidRPr="00EC20F8">
        <w:rPr>
          <w:rFonts w:ascii="Times New Roman" w:hAnsi="Times New Roman" w:cs="Times New Roman"/>
          <w:sz w:val="28"/>
          <w:szCs w:val="28"/>
        </w:rPr>
        <w:t xml:space="preserve">ится по сравнению с 2013 годом </w:t>
      </w:r>
      <w:r w:rsidRPr="00EC20F8">
        <w:rPr>
          <w:rFonts w:ascii="Times New Roman" w:hAnsi="Times New Roman" w:cs="Times New Roman"/>
          <w:sz w:val="28"/>
          <w:szCs w:val="28"/>
        </w:rPr>
        <w:t>по первому</w:t>
      </w:r>
      <w:r w:rsidR="00DE2F76" w:rsidRPr="00EC20F8">
        <w:rPr>
          <w:rFonts w:ascii="Times New Roman" w:hAnsi="Times New Roman" w:cs="Times New Roman"/>
          <w:sz w:val="28"/>
          <w:szCs w:val="28"/>
        </w:rPr>
        <w:t xml:space="preserve"> варианту на 38,5 %, по второму </w:t>
      </w:r>
      <w:r w:rsidRPr="00EC20F8">
        <w:rPr>
          <w:rFonts w:ascii="Times New Roman" w:hAnsi="Times New Roman" w:cs="Times New Roman"/>
          <w:sz w:val="28"/>
          <w:szCs w:val="28"/>
        </w:rPr>
        <w:t>-</w:t>
      </w:r>
      <w:r w:rsidR="00DE2F76" w:rsidRPr="00EC20F8">
        <w:rPr>
          <w:rFonts w:ascii="Times New Roman" w:hAnsi="Times New Roman" w:cs="Times New Roman"/>
          <w:sz w:val="28"/>
          <w:szCs w:val="28"/>
        </w:rPr>
        <w:t xml:space="preserve"> на 45 %, коммунальных услуг - </w:t>
      </w:r>
      <w:r w:rsidRPr="00EC20F8">
        <w:rPr>
          <w:rFonts w:ascii="Times New Roman" w:hAnsi="Times New Roman" w:cs="Times New Roman"/>
          <w:sz w:val="28"/>
          <w:szCs w:val="28"/>
        </w:rPr>
        <w:t>по первому вариан</w:t>
      </w:r>
      <w:r w:rsidR="00DE2F76" w:rsidRPr="00EC20F8">
        <w:rPr>
          <w:rFonts w:ascii="Times New Roman" w:hAnsi="Times New Roman" w:cs="Times New Roman"/>
          <w:sz w:val="28"/>
          <w:szCs w:val="28"/>
        </w:rPr>
        <w:t>ту на 53 %, по второму варианту</w:t>
      </w:r>
      <w:r w:rsidRPr="00EC20F8">
        <w:rPr>
          <w:rFonts w:ascii="Times New Roman" w:hAnsi="Times New Roman" w:cs="Times New Roman"/>
          <w:sz w:val="28"/>
          <w:szCs w:val="28"/>
        </w:rPr>
        <w:t xml:space="preserve"> - на 54,6 %. </w:t>
      </w:r>
      <w:proofErr w:type="gramEnd"/>
    </w:p>
    <w:p w:rsidR="00311124" w:rsidRPr="00EC20F8" w:rsidRDefault="00311124" w:rsidP="00311124">
      <w:pPr>
        <w:spacing w:line="240" w:lineRule="auto"/>
        <w:ind w:firstLine="709"/>
        <w:jc w:val="both"/>
        <w:rPr>
          <w:rFonts w:ascii="Times New Roman" w:hAnsi="Times New Roman"/>
          <w:sz w:val="28"/>
          <w:szCs w:val="28"/>
        </w:rPr>
      </w:pPr>
      <w:r w:rsidRPr="00EC20F8">
        <w:rPr>
          <w:rFonts w:ascii="Times New Roman" w:hAnsi="Times New Roman"/>
          <w:sz w:val="28"/>
          <w:szCs w:val="28"/>
        </w:rPr>
        <w:t xml:space="preserve">Проведение модернизации и реформирования социально-культурной сферы, развитие негосударственного сектора в этих секторах способствуют дальнейшему росту объема платных услуг в этой сфере. Доля услуг социально-культурной сферы занимает </w:t>
      </w:r>
      <w:r w:rsidR="00DE2F76" w:rsidRPr="00EC20F8">
        <w:rPr>
          <w:rFonts w:ascii="Times New Roman" w:hAnsi="Times New Roman"/>
          <w:sz w:val="28"/>
          <w:szCs w:val="28"/>
        </w:rPr>
        <w:t xml:space="preserve">порядка 9,7 % </w:t>
      </w:r>
      <w:r w:rsidRPr="00EC20F8">
        <w:rPr>
          <w:rFonts w:ascii="Times New Roman" w:hAnsi="Times New Roman"/>
          <w:sz w:val="28"/>
          <w:szCs w:val="28"/>
        </w:rPr>
        <w:t xml:space="preserve">в общем объеме платных услуг населению. В сфере здравоохранения, образования, культуры, физической культуры и спорта из-за особой значимости их для жизнедеятельности человека объемы этих услуг будут расти, их доля в общем объеме платных услуг в среднесрочной перспективе существенно не изменится (2017 год -10,5 %, в 2013 год – 9,7 %). </w:t>
      </w:r>
    </w:p>
    <w:p w:rsidR="00311124" w:rsidRPr="00EC20F8" w:rsidRDefault="00311124" w:rsidP="00311124">
      <w:pPr>
        <w:spacing w:line="240" w:lineRule="auto"/>
        <w:ind w:firstLine="709"/>
        <w:jc w:val="both"/>
        <w:rPr>
          <w:rFonts w:ascii="Times New Roman" w:hAnsi="Times New Roman"/>
          <w:sz w:val="28"/>
          <w:szCs w:val="28"/>
        </w:rPr>
      </w:pPr>
      <w:proofErr w:type="gramStart"/>
      <w:r w:rsidRPr="00EC20F8">
        <w:rPr>
          <w:rFonts w:ascii="Times New Roman" w:hAnsi="Times New Roman"/>
          <w:sz w:val="28"/>
          <w:szCs w:val="28"/>
        </w:rPr>
        <w:t>Спрос на бытовые услуги в предшествующие годы в действующих ценах увеличивался ежегодно и был обусловлен, главным образом, стремлением населения улучшить качество жизни и сэкономить время на повседневных делах, а также наличием у населения потребностей, которые не всегда могут быть удовлетворены в порядке самообслуживания по ряду причин.</w:t>
      </w:r>
      <w:proofErr w:type="gramEnd"/>
      <w:r w:rsidRPr="00EC20F8">
        <w:rPr>
          <w:rFonts w:ascii="Times New Roman" w:hAnsi="Times New Roman"/>
          <w:sz w:val="28"/>
          <w:szCs w:val="28"/>
        </w:rPr>
        <w:t xml:space="preserve"> В среднесрочном периоде структура бытовых услуг существенно не изменится и останется на уровне 2013 года.</w:t>
      </w:r>
    </w:p>
    <w:p w:rsidR="00311124" w:rsidRPr="00EC20F8" w:rsidRDefault="00311124" w:rsidP="00311124">
      <w:pPr>
        <w:spacing w:line="240" w:lineRule="auto"/>
        <w:ind w:firstLine="709"/>
        <w:jc w:val="both"/>
        <w:rPr>
          <w:rFonts w:ascii="Times New Roman" w:hAnsi="Times New Roman"/>
          <w:sz w:val="28"/>
          <w:szCs w:val="28"/>
        </w:rPr>
      </w:pPr>
      <w:proofErr w:type="gramStart"/>
      <w:r w:rsidRPr="00EC20F8">
        <w:rPr>
          <w:rFonts w:ascii="Times New Roman" w:hAnsi="Times New Roman"/>
          <w:sz w:val="28"/>
          <w:szCs w:val="28"/>
        </w:rPr>
        <w:t>Прогнозируется, что к 2017 году объём бытовых услуг в действующих ценах увелич</w:t>
      </w:r>
      <w:r w:rsidR="00DE2F76" w:rsidRPr="00EC20F8">
        <w:rPr>
          <w:rFonts w:ascii="Times New Roman" w:hAnsi="Times New Roman"/>
          <w:sz w:val="28"/>
          <w:szCs w:val="28"/>
        </w:rPr>
        <w:t xml:space="preserve">ится по сравнению с 2013 годом </w:t>
      </w:r>
      <w:r w:rsidRPr="00EC20F8">
        <w:rPr>
          <w:rFonts w:ascii="Times New Roman" w:hAnsi="Times New Roman"/>
          <w:sz w:val="28"/>
          <w:szCs w:val="28"/>
        </w:rPr>
        <w:t>на 50,5 % по первому варианту и на 58,6 % по второму.</w:t>
      </w:r>
      <w:proofErr w:type="gramEnd"/>
    </w:p>
    <w:p w:rsidR="00311124" w:rsidRPr="00EC20F8" w:rsidRDefault="00311124" w:rsidP="00311124">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В прогнозном периоде общий объем платных услуг населению по всем каналам реализации предполагается:</w:t>
      </w:r>
    </w:p>
    <w:p w:rsidR="00311124" w:rsidRPr="00EC20F8" w:rsidRDefault="00311124" w:rsidP="00311124">
      <w:pPr>
        <w:spacing w:line="240" w:lineRule="auto"/>
        <w:ind w:firstLine="709"/>
        <w:jc w:val="both"/>
        <w:rPr>
          <w:rFonts w:ascii="Times New Roman" w:eastAsia="Times New Roman" w:hAnsi="Times New Roman" w:cs="Times New Roman"/>
          <w:sz w:val="28"/>
          <w:szCs w:val="28"/>
          <w:lang w:eastAsia="ru-RU"/>
        </w:rPr>
      </w:pPr>
      <w:r w:rsidRPr="00EC20F8">
        <w:rPr>
          <w:rFonts w:ascii="Times New Roman" w:hAnsi="Times New Roman" w:cs="Times New Roman"/>
          <w:sz w:val="28"/>
          <w:szCs w:val="28"/>
        </w:rPr>
        <w:t xml:space="preserve">- по первому варианту прогноза в 2015 году в сумме </w:t>
      </w:r>
      <w:r w:rsidRPr="00EC20F8">
        <w:rPr>
          <w:rFonts w:ascii="Times New Roman" w:eastAsia="Times New Roman" w:hAnsi="Times New Roman" w:cs="Times New Roman"/>
          <w:sz w:val="28"/>
          <w:szCs w:val="28"/>
          <w:lang w:eastAsia="ru-RU"/>
        </w:rPr>
        <w:t>23 861,71</w:t>
      </w:r>
      <w:r w:rsidRPr="00EC20F8">
        <w:rPr>
          <w:rFonts w:ascii="Times New Roman" w:hAnsi="Times New Roman" w:cs="Times New Roman"/>
          <w:sz w:val="28"/>
          <w:szCs w:val="28"/>
        </w:rPr>
        <w:t xml:space="preserve">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w:t>
      </w:r>
      <w:r w:rsidRPr="00EC20F8">
        <w:rPr>
          <w:rFonts w:ascii="Times New Roman" w:eastAsia="Times New Roman" w:hAnsi="Times New Roman" w:cs="Times New Roman"/>
          <w:sz w:val="28"/>
          <w:szCs w:val="28"/>
          <w:lang w:eastAsia="ru-RU"/>
        </w:rPr>
        <w:t xml:space="preserve">; </w:t>
      </w:r>
      <w:r w:rsidRPr="00EC20F8">
        <w:rPr>
          <w:rFonts w:ascii="Times New Roman" w:hAnsi="Times New Roman" w:cs="Times New Roman"/>
          <w:sz w:val="28"/>
          <w:szCs w:val="28"/>
        </w:rPr>
        <w:t xml:space="preserve">в 2016 году - 25 955,55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w:t>
      </w:r>
      <w:r w:rsidRPr="00EC20F8">
        <w:rPr>
          <w:rFonts w:ascii="Times New Roman" w:eastAsia="Times New Roman" w:hAnsi="Times New Roman" w:cs="Times New Roman"/>
          <w:sz w:val="28"/>
          <w:szCs w:val="28"/>
          <w:lang w:eastAsia="ru-RU"/>
        </w:rPr>
        <w:t xml:space="preserve">; </w:t>
      </w:r>
      <w:r w:rsidRPr="00EC20F8">
        <w:rPr>
          <w:rFonts w:ascii="Times New Roman" w:hAnsi="Times New Roman" w:cs="Times New Roman"/>
          <w:sz w:val="28"/>
          <w:szCs w:val="28"/>
        </w:rPr>
        <w:t>в 2017 году –</w:t>
      </w:r>
      <w:r w:rsidRPr="00EC20F8">
        <w:rPr>
          <w:rFonts w:ascii="Times New Roman" w:eastAsia="Times New Roman" w:hAnsi="Times New Roman" w:cs="Times New Roman"/>
          <w:sz w:val="28"/>
          <w:szCs w:val="28"/>
          <w:lang w:eastAsia="ru-RU"/>
        </w:rPr>
        <w:t xml:space="preserve"> 28 151,70</w:t>
      </w:r>
      <w:r w:rsidRPr="00EC20F8">
        <w:rPr>
          <w:rFonts w:ascii="Times New Roman" w:hAnsi="Times New Roman" w:cs="Times New Roman"/>
          <w:sz w:val="28"/>
          <w:szCs w:val="28"/>
        </w:rPr>
        <w:t xml:space="preserve">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По прогнозу рост объема платных услуг населению к 2017 году  в действующих ценах вырастет на 142,2</w:t>
      </w:r>
      <w:r w:rsidR="00DE2F76" w:rsidRPr="00EC20F8">
        <w:rPr>
          <w:rFonts w:ascii="Times New Roman" w:hAnsi="Times New Roman" w:cs="Times New Roman"/>
          <w:sz w:val="28"/>
          <w:szCs w:val="28"/>
        </w:rPr>
        <w:t xml:space="preserve"> </w:t>
      </w:r>
      <w:r w:rsidRPr="00EC20F8">
        <w:rPr>
          <w:rFonts w:ascii="Times New Roman" w:hAnsi="Times New Roman" w:cs="Times New Roman"/>
          <w:sz w:val="28"/>
          <w:szCs w:val="28"/>
        </w:rPr>
        <w:t>% к уровню 2013 года.</w:t>
      </w:r>
    </w:p>
    <w:p w:rsidR="00311124" w:rsidRPr="00EC20F8" w:rsidRDefault="00311124" w:rsidP="00311124">
      <w:pPr>
        <w:spacing w:line="240" w:lineRule="auto"/>
        <w:ind w:firstLine="709"/>
        <w:jc w:val="both"/>
        <w:rPr>
          <w:rFonts w:ascii="Times New Roman" w:hAnsi="Times New Roman" w:cs="Times New Roman"/>
          <w:sz w:val="28"/>
          <w:szCs w:val="28"/>
        </w:rPr>
      </w:pPr>
      <w:r w:rsidRPr="00EC20F8">
        <w:rPr>
          <w:rFonts w:ascii="Times New Roman" w:eastAsia="Times New Roman" w:hAnsi="Times New Roman" w:cs="Times New Roman"/>
          <w:sz w:val="28"/>
          <w:szCs w:val="28"/>
          <w:lang w:eastAsia="ru-RU"/>
        </w:rPr>
        <w:t xml:space="preserve">- </w:t>
      </w:r>
      <w:r w:rsidRPr="00EC20F8">
        <w:rPr>
          <w:rFonts w:ascii="Times New Roman" w:hAnsi="Times New Roman" w:cs="Times New Roman"/>
          <w:sz w:val="28"/>
          <w:szCs w:val="28"/>
        </w:rPr>
        <w:t>по второму варианту прогноза рост объема платных услуг населению</w:t>
      </w:r>
      <w:r w:rsidR="00DE2F76" w:rsidRPr="00EC20F8">
        <w:rPr>
          <w:rFonts w:ascii="Times New Roman" w:hAnsi="Times New Roman" w:cs="Times New Roman"/>
          <w:sz w:val="28"/>
          <w:szCs w:val="28"/>
        </w:rPr>
        <w:t xml:space="preserve"> к 2017 году </w:t>
      </w:r>
      <w:r w:rsidRPr="00EC20F8">
        <w:rPr>
          <w:rFonts w:ascii="Times New Roman" w:hAnsi="Times New Roman" w:cs="Times New Roman"/>
          <w:sz w:val="28"/>
          <w:szCs w:val="28"/>
        </w:rPr>
        <w:t>в действующих ценах может составить  143,7 % к уровню 2013 года.</w:t>
      </w:r>
    </w:p>
    <w:p w:rsidR="0002086F" w:rsidRPr="00EC20F8" w:rsidRDefault="0002086F" w:rsidP="0002086F">
      <w:pPr>
        <w:autoSpaceDE w:val="0"/>
        <w:autoSpaceDN w:val="0"/>
        <w:adjustRightInd w:val="0"/>
        <w:spacing w:line="240" w:lineRule="auto"/>
        <w:ind w:left="34" w:right="-104" w:firstLine="675"/>
        <w:jc w:val="both"/>
        <w:rPr>
          <w:rFonts w:ascii="Times New Roman" w:hAnsi="Times New Roman" w:cs="Times New Roman"/>
          <w:sz w:val="28"/>
          <w:szCs w:val="28"/>
        </w:rPr>
      </w:pPr>
      <w:proofErr w:type="gramStart"/>
      <w:r w:rsidRPr="00EC20F8">
        <w:rPr>
          <w:rFonts w:ascii="Times New Roman" w:hAnsi="Times New Roman" w:cs="Times New Roman"/>
          <w:sz w:val="28"/>
          <w:szCs w:val="28"/>
        </w:rPr>
        <w:t>В целях создания условий для обеспечения населения услугами связи, общественного питания, торговли, бытового обслуживания, сельскохозяйственной продукцией, сырьем и продовольствием, в том числе путем поддержки субъектов малого и среднего предпринимательства в 2015- 2017 годах будут реализованы мероприятия муниципальной программы «Реализация экономической политики, инвестиционной, межрегиональной и международной деятельности Петропавловск-Камчатского городского округа» (подпрограмма 1 «Создание благоприятных условий для обеспечения населения Петропавловск-Камчатского городского округа</w:t>
      </w:r>
      <w:proofErr w:type="gramEnd"/>
      <w:r w:rsidRPr="00EC20F8">
        <w:rPr>
          <w:rFonts w:ascii="Times New Roman" w:hAnsi="Times New Roman" w:cs="Times New Roman"/>
          <w:sz w:val="28"/>
          <w:szCs w:val="28"/>
        </w:rPr>
        <w:t xml:space="preserve"> услугами потребительского рынка и развития предпринимательства»).</w:t>
      </w:r>
    </w:p>
    <w:p w:rsidR="00302443" w:rsidRPr="00EC20F8" w:rsidRDefault="00302443" w:rsidP="00311124">
      <w:pPr>
        <w:spacing w:line="240" w:lineRule="auto"/>
        <w:ind w:firstLine="709"/>
        <w:jc w:val="both"/>
        <w:rPr>
          <w:rFonts w:ascii="Times New Roman" w:eastAsia="Times New Roman" w:hAnsi="Times New Roman" w:cs="Times New Roman"/>
          <w:sz w:val="28"/>
          <w:szCs w:val="28"/>
          <w:lang w:eastAsia="ru-RU"/>
        </w:rPr>
      </w:pPr>
    </w:p>
    <w:p w:rsidR="006630F9" w:rsidRPr="00EC20F8" w:rsidRDefault="006630F9" w:rsidP="006630F9">
      <w:pPr>
        <w:pStyle w:val="1"/>
      </w:pPr>
      <w:bookmarkStart w:id="66" w:name="_Toc368930203"/>
      <w:bookmarkStart w:id="67" w:name="_Toc368930827"/>
      <w:bookmarkStart w:id="68" w:name="_Toc368988884"/>
      <w:bookmarkStart w:id="69" w:name="_Toc400529667"/>
      <w:bookmarkEnd w:id="62"/>
      <w:bookmarkEnd w:id="63"/>
      <w:bookmarkEnd w:id="64"/>
      <w:r w:rsidRPr="00EC20F8">
        <w:t>6. Демографическая ситуация</w:t>
      </w:r>
      <w:bookmarkEnd w:id="66"/>
      <w:bookmarkEnd w:id="67"/>
      <w:bookmarkEnd w:id="68"/>
      <w:bookmarkEnd w:id="69"/>
      <w:r w:rsidRPr="00EC20F8">
        <w:t xml:space="preserve"> </w:t>
      </w:r>
    </w:p>
    <w:p w:rsidR="006630F9" w:rsidRPr="00EC20F8" w:rsidRDefault="006630F9" w:rsidP="006630F9">
      <w:pPr>
        <w:rPr>
          <w:rFonts w:ascii="Times New Roman" w:hAnsi="Times New Roman" w:cs="Times New Roman"/>
        </w:rPr>
      </w:pPr>
    </w:p>
    <w:p w:rsidR="006630F9" w:rsidRPr="00EC20F8" w:rsidRDefault="006630F9" w:rsidP="006630F9">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Численность постоянного населения городского округа по состоянию на 01.01.2014 составила 182,711 тысяч человек. В 2013 году прирост населения составил 1</w:t>
      </w:r>
      <w:r w:rsidR="00DE2F76" w:rsidRPr="00EC20F8">
        <w:rPr>
          <w:rFonts w:ascii="Times New Roman" w:hAnsi="Times New Roman" w:cs="Times New Roman"/>
          <w:sz w:val="28"/>
          <w:szCs w:val="28"/>
        </w:rPr>
        <w:t xml:space="preserve"> </w:t>
      </w:r>
      <w:r w:rsidRPr="00EC20F8">
        <w:rPr>
          <w:rFonts w:ascii="Times New Roman" w:hAnsi="Times New Roman" w:cs="Times New Roman"/>
          <w:sz w:val="28"/>
          <w:szCs w:val="28"/>
        </w:rPr>
        <w:t>093 человек</w:t>
      </w:r>
      <w:r w:rsidR="00DE2F76" w:rsidRPr="00EC20F8">
        <w:rPr>
          <w:rFonts w:ascii="Times New Roman" w:hAnsi="Times New Roman" w:cs="Times New Roman"/>
          <w:sz w:val="28"/>
          <w:szCs w:val="28"/>
        </w:rPr>
        <w:t>а</w:t>
      </w:r>
      <w:r w:rsidRPr="00EC20F8">
        <w:rPr>
          <w:rFonts w:ascii="Times New Roman" w:hAnsi="Times New Roman" w:cs="Times New Roman"/>
          <w:sz w:val="28"/>
          <w:szCs w:val="28"/>
        </w:rPr>
        <w:t xml:space="preserve"> и обеспечен сохранившимися темпами ро</w:t>
      </w:r>
      <w:r w:rsidR="00DE2F76" w:rsidRPr="00EC20F8">
        <w:rPr>
          <w:rFonts w:ascii="Times New Roman" w:hAnsi="Times New Roman" w:cs="Times New Roman"/>
          <w:sz w:val="28"/>
          <w:szCs w:val="28"/>
        </w:rPr>
        <w:t>ждаемости, снижением смертности</w:t>
      </w:r>
      <w:r w:rsidRPr="00EC20F8">
        <w:rPr>
          <w:rFonts w:ascii="Times New Roman" w:hAnsi="Times New Roman" w:cs="Times New Roman"/>
          <w:sz w:val="28"/>
          <w:szCs w:val="28"/>
        </w:rPr>
        <w:t xml:space="preserve"> и приростом миграции. </w:t>
      </w:r>
    </w:p>
    <w:p w:rsidR="006630F9" w:rsidRPr="00EC20F8" w:rsidRDefault="006630F9" w:rsidP="006630F9">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За отчетный год в городском округе родилось 2 365 человек, это меньше, чем в 2012 году, на 21 человека. На каждую 1000 человек населения в 2013 году приходилось 13,0 рождений (в 2012 году - 13,2; в 2011 году – 11,9). </w:t>
      </w:r>
    </w:p>
    <w:p w:rsidR="00F86837" w:rsidRPr="00EC20F8" w:rsidRDefault="00DE2F76" w:rsidP="00F86837">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В течение 2013 года умерло </w:t>
      </w:r>
      <w:r w:rsidR="006630F9" w:rsidRPr="00EC20F8">
        <w:rPr>
          <w:rFonts w:ascii="Times New Roman" w:hAnsi="Times New Roman" w:cs="Times New Roman"/>
          <w:sz w:val="28"/>
          <w:szCs w:val="28"/>
        </w:rPr>
        <w:t xml:space="preserve">1 966 человек, на 23 человека меньше уровня 2012 года, что свидетельствует о продолжающейся тенденции снижения смертности населения. Общий коэффициент смертности составил 10,8 промилле </w:t>
      </w:r>
      <w:r w:rsidR="00AB0B96" w:rsidRPr="00EC20F8">
        <w:rPr>
          <w:rFonts w:ascii="Times New Roman" w:hAnsi="Times New Roman" w:cs="Times New Roman"/>
          <w:sz w:val="28"/>
          <w:szCs w:val="28"/>
        </w:rPr>
        <w:t>(рис. 6.1</w:t>
      </w:r>
      <w:r w:rsidR="006630F9" w:rsidRPr="00EC20F8">
        <w:rPr>
          <w:rFonts w:ascii="Times New Roman" w:hAnsi="Times New Roman" w:cs="Times New Roman"/>
          <w:sz w:val="28"/>
          <w:szCs w:val="28"/>
        </w:rPr>
        <w:t>.</w:t>
      </w:r>
      <w:r w:rsidR="00F86837" w:rsidRPr="00EC20F8">
        <w:rPr>
          <w:rFonts w:ascii="Times New Roman" w:hAnsi="Times New Roman" w:cs="Times New Roman"/>
          <w:sz w:val="28"/>
          <w:szCs w:val="28"/>
        </w:rPr>
        <w:t xml:space="preserve">). </w:t>
      </w:r>
    </w:p>
    <w:p w:rsidR="00F86837" w:rsidRPr="00EC20F8" w:rsidRDefault="00F86837" w:rsidP="00F86837">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В 2013 году по сравнению с 2012 годом произошло увеличение смертности от туберкулеза – на 35,7 %, от инфекционных и паразитарных болезней (31,6 %), от болезней системы кровообращения на 2,5 %, от новообразований на 6,9 %. </w:t>
      </w:r>
    </w:p>
    <w:p w:rsidR="006630F9" w:rsidRPr="00EC20F8" w:rsidRDefault="006630F9" w:rsidP="006630F9">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noProof/>
          <w:sz w:val="28"/>
          <w:szCs w:val="28"/>
          <w:bdr w:val="single" w:sz="4" w:space="0" w:color="auto"/>
          <w:lang w:eastAsia="ru-RU"/>
        </w:rPr>
        <w:drawing>
          <wp:inline distT="0" distB="0" distL="0" distR="0">
            <wp:extent cx="5162550" cy="2171700"/>
            <wp:effectExtent l="19050" t="0" r="0" b="0"/>
            <wp:docPr id="20"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AE693C" w:rsidRPr="00EC20F8" w:rsidRDefault="00AE693C" w:rsidP="00AE693C">
      <w:pPr>
        <w:widowControl w:val="0"/>
        <w:spacing w:line="240" w:lineRule="auto"/>
        <w:ind w:firstLine="709"/>
        <w:jc w:val="center"/>
        <w:rPr>
          <w:rFonts w:ascii="Times New Roman" w:hAnsi="Times New Roman" w:cs="Times New Roman"/>
          <w:i/>
          <w:sz w:val="12"/>
          <w:szCs w:val="12"/>
        </w:rPr>
      </w:pPr>
    </w:p>
    <w:p w:rsidR="006630F9" w:rsidRPr="00EC20F8" w:rsidRDefault="006630F9" w:rsidP="00AE693C">
      <w:pPr>
        <w:widowControl w:val="0"/>
        <w:ind w:firstLine="709"/>
        <w:jc w:val="center"/>
        <w:rPr>
          <w:rFonts w:ascii="Times New Roman" w:hAnsi="Times New Roman" w:cs="Times New Roman"/>
          <w:i/>
          <w:sz w:val="24"/>
          <w:szCs w:val="24"/>
        </w:rPr>
      </w:pPr>
      <w:r w:rsidRPr="00EC20F8">
        <w:rPr>
          <w:rFonts w:ascii="Times New Roman" w:hAnsi="Times New Roman" w:cs="Times New Roman"/>
          <w:i/>
          <w:sz w:val="24"/>
          <w:szCs w:val="24"/>
        </w:rPr>
        <w:t>Рис. 6.1. Рождаемость и смертность на 1 000 человек населения</w:t>
      </w:r>
      <w:r w:rsidR="00AB0B96" w:rsidRPr="00EC20F8">
        <w:rPr>
          <w:rFonts w:ascii="Times New Roman" w:hAnsi="Times New Roman" w:cs="Times New Roman"/>
          <w:i/>
          <w:sz w:val="24"/>
          <w:szCs w:val="24"/>
        </w:rPr>
        <w:t xml:space="preserve"> в </w:t>
      </w:r>
      <w:r w:rsidRPr="00EC20F8">
        <w:rPr>
          <w:rFonts w:ascii="Times New Roman" w:hAnsi="Times New Roman" w:cs="Times New Roman"/>
          <w:i/>
          <w:sz w:val="24"/>
          <w:szCs w:val="24"/>
        </w:rPr>
        <w:t xml:space="preserve"> </w:t>
      </w:r>
      <w:proofErr w:type="spellStart"/>
      <w:proofErr w:type="gramStart"/>
      <w:r w:rsidRPr="00EC20F8">
        <w:rPr>
          <w:rFonts w:ascii="Times New Roman" w:hAnsi="Times New Roman" w:cs="Times New Roman"/>
          <w:i/>
          <w:sz w:val="24"/>
          <w:szCs w:val="24"/>
        </w:rPr>
        <w:t>Петропавловск-Камчатско</w:t>
      </w:r>
      <w:r w:rsidR="00AB0B96" w:rsidRPr="00EC20F8">
        <w:rPr>
          <w:rFonts w:ascii="Times New Roman" w:hAnsi="Times New Roman" w:cs="Times New Roman"/>
          <w:i/>
          <w:sz w:val="24"/>
          <w:szCs w:val="24"/>
        </w:rPr>
        <w:t>м</w:t>
      </w:r>
      <w:proofErr w:type="spellEnd"/>
      <w:proofErr w:type="gramEnd"/>
      <w:r w:rsidRPr="00EC20F8">
        <w:rPr>
          <w:rFonts w:ascii="Times New Roman" w:hAnsi="Times New Roman" w:cs="Times New Roman"/>
          <w:i/>
          <w:sz w:val="24"/>
          <w:szCs w:val="24"/>
        </w:rPr>
        <w:t xml:space="preserve"> городско</w:t>
      </w:r>
      <w:r w:rsidR="00AB0B96" w:rsidRPr="00EC20F8">
        <w:rPr>
          <w:rFonts w:ascii="Times New Roman" w:hAnsi="Times New Roman" w:cs="Times New Roman"/>
          <w:i/>
          <w:sz w:val="24"/>
          <w:szCs w:val="24"/>
        </w:rPr>
        <w:t>м</w:t>
      </w:r>
      <w:r w:rsidRPr="00EC20F8">
        <w:rPr>
          <w:rFonts w:ascii="Times New Roman" w:hAnsi="Times New Roman" w:cs="Times New Roman"/>
          <w:i/>
          <w:sz w:val="24"/>
          <w:szCs w:val="24"/>
        </w:rPr>
        <w:t xml:space="preserve"> округ</w:t>
      </w:r>
      <w:r w:rsidR="00AB0B96" w:rsidRPr="00EC20F8">
        <w:rPr>
          <w:rFonts w:ascii="Times New Roman" w:hAnsi="Times New Roman" w:cs="Times New Roman"/>
          <w:i/>
          <w:sz w:val="24"/>
          <w:szCs w:val="24"/>
        </w:rPr>
        <w:t>е</w:t>
      </w:r>
    </w:p>
    <w:p w:rsidR="00F86837" w:rsidRPr="00EC20F8" w:rsidRDefault="00F86837" w:rsidP="00AE693C">
      <w:pPr>
        <w:widowControl w:val="0"/>
        <w:ind w:firstLine="709"/>
        <w:jc w:val="center"/>
        <w:rPr>
          <w:rFonts w:ascii="Times New Roman" w:hAnsi="Times New Roman" w:cs="Times New Roman"/>
          <w:i/>
          <w:sz w:val="12"/>
          <w:szCs w:val="12"/>
        </w:rPr>
      </w:pPr>
    </w:p>
    <w:p w:rsidR="006630F9" w:rsidRPr="00EC20F8" w:rsidRDefault="006630F9" w:rsidP="006630F9">
      <w:pPr>
        <w:widowControl w:val="0"/>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Вместе с тем, снижена смертность от болезней органов пищеварения – на 3,7 %, от болезней органов дыхания – на 15 %, от транспортных травм (всех видов) – на 50 %.</w:t>
      </w:r>
      <w:proofErr w:type="gramEnd"/>
    </w:p>
    <w:p w:rsidR="006630F9" w:rsidRPr="00EC20F8" w:rsidRDefault="006630F9" w:rsidP="006630F9">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Основными причинами смерти остаются болезни системы кровообращения (52,7 %), новообразования (17,4</w:t>
      </w:r>
      <w:r w:rsidR="00DE2F76" w:rsidRPr="00EC20F8">
        <w:rPr>
          <w:rFonts w:ascii="Times New Roman" w:hAnsi="Times New Roman" w:cs="Times New Roman"/>
          <w:sz w:val="28"/>
          <w:szCs w:val="28"/>
        </w:rPr>
        <w:t xml:space="preserve"> </w:t>
      </w:r>
      <w:r w:rsidRPr="00EC20F8">
        <w:rPr>
          <w:rFonts w:ascii="Times New Roman" w:hAnsi="Times New Roman" w:cs="Times New Roman"/>
          <w:sz w:val="28"/>
          <w:szCs w:val="28"/>
        </w:rPr>
        <w:t>%) и от внешних причин (10,9</w:t>
      </w:r>
      <w:r w:rsidR="00DE2F76" w:rsidRPr="00EC20F8">
        <w:rPr>
          <w:rFonts w:ascii="Times New Roman" w:hAnsi="Times New Roman" w:cs="Times New Roman"/>
          <w:sz w:val="28"/>
          <w:szCs w:val="28"/>
        </w:rPr>
        <w:t xml:space="preserve"> </w:t>
      </w:r>
      <w:r w:rsidRPr="00EC20F8">
        <w:rPr>
          <w:rFonts w:ascii="Times New Roman" w:hAnsi="Times New Roman" w:cs="Times New Roman"/>
          <w:sz w:val="28"/>
          <w:szCs w:val="28"/>
        </w:rPr>
        <w:t>%).</w:t>
      </w:r>
    </w:p>
    <w:p w:rsidR="006630F9" w:rsidRPr="00EC20F8" w:rsidRDefault="006630F9" w:rsidP="006630F9">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В 2013 году умерло 28 малышей первого года жизни (на уровне предшествующего года). В структуре причин младенческой смертности ведущее место занимают отдельные состояния, возникающие в перинатальном периоде – </w:t>
      </w:r>
      <w:r w:rsidR="008B4102" w:rsidRPr="00EC20F8">
        <w:rPr>
          <w:rFonts w:ascii="Times New Roman" w:hAnsi="Times New Roman" w:cs="Times New Roman"/>
          <w:sz w:val="28"/>
          <w:szCs w:val="28"/>
        </w:rPr>
        <w:t xml:space="preserve">55,2 </w:t>
      </w:r>
      <w:r w:rsidRPr="00EC20F8">
        <w:rPr>
          <w:rFonts w:ascii="Times New Roman" w:hAnsi="Times New Roman" w:cs="Times New Roman"/>
          <w:sz w:val="28"/>
          <w:szCs w:val="28"/>
        </w:rPr>
        <w:t xml:space="preserve">%, врожденные аномалии – </w:t>
      </w:r>
      <w:r w:rsidR="008B4102" w:rsidRPr="00EC20F8">
        <w:rPr>
          <w:rFonts w:ascii="Times New Roman" w:hAnsi="Times New Roman" w:cs="Times New Roman"/>
          <w:sz w:val="28"/>
          <w:szCs w:val="28"/>
        </w:rPr>
        <w:t xml:space="preserve">27,6 </w:t>
      </w:r>
      <w:r w:rsidRPr="00EC20F8">
        <w:rPr>
          <w:rFonts w:ascii="Times New Roman" w:hAnsi="Times New Roman" w:cs="Times New Roman"/>
          <w:sz w:val="28"/>
          <w:szCs w:val="28"/>
        </w:rPr>
        <w:t xml:space="preserve">%, болезни нервной системы и органов чувств – </w:t>
      </w:r>
      <w:r w:rsidR="008B4102" w:rsidRPr="00EC20F8">
        <w:rPr>
          <w:rFonts w:ascii="Times New Roman" w:hAnsi="Times New Roman" w:cs="Times New Roman"/>
          <w:sz w:val="28"/>
          <w:szCs w:val="28"/>
        </w:rPr>
        <w:t>3,5</w:t>
      </w:r>
      <w:r w:rsidRPr="00EC20F8">
        <w:rPr>
          <w:rFonts w:ascii="Times New Roman" w:hAnsi="Times New Roman" w:cs="Times New Roman"/>
          <w:sz w:val="28"/>
          <w:szCs w:val="28"/>
        </w:rPr>
        <w:t xml:space="preserve"> %,</w:t>
      </w:r>
      <w:r w:rsidR="008B4102" w:rsidRPr="00EC20F8">
        <w:rPr>
          <w:rFonts w:ascii="Times New Roman" w:hAnsi="Times New Roman" w:cs="Times New Roman"/>
          <w:sz w:val="28"/>
          <w:szCs w:val="28"/>
        </w:rPr>
        <w:t xml:space="preserve"> сепсис – 3,4 %</w:t>
      </w:r>
      <w:r w:rsidRPr="00EC20F8">
        <w:rPr>
          <w:rFonts w:ascii="Times New Roman" w:hAnsi="Times New Roman" w:cs="Times New Roman"/>
          <w:sz w:val="28"/>
          <w:szCs w:val="28"/>
        </w:rPr>
        <w:t xml:space="preserve">, </w:t>
      </w:r>
      <w:r w:rsidR="008B4102" w:rsidRPr="00EC20F8">
        <w:rPr>
          <w:rFonts w:ascii="Times New Roman" w:hAnsi="Times New Roman" w:cs="Times New Roman"/>
          <w:sz w:val="28"/>
          <w:szCs w:val="28"/>
        </w:rPr>
        <w:t>синдром внезапной смерти младенца - 3,5 %, случайное удушение – 3,4 %, неустановленные причины – 3,4 %.</w:t>
      </w:r>
    </w:p>
    <w:p w:rsidR="006630F9" w:rsidRPr="00EC20F8" w:rsidRDefault="006630F9" w:rsidP="006630F9">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В 2013 году в городской округ прибыло 8353 человека, убыло – 7659 человек. Миграционная прибыль составила 694</w:t>
      </w:r>
      <w:r w:rsidRPr="00EC20F8">
        <w:rPr>
          <w:rFonts w:ascii="Times New Roman" w:hAnsi="Times New Roman" w:cs="Times New Roman"/>
          <w:noProof/>
          <w:sz w:val="28"/>
          <w:szCs w:val="28"/>
        </w:rPr>
        <w:t xml:space="preserve"> </w:t>
      </w:r>
      <w:r w:rsidRPr="00EC20F8">
        <w:rPr>
          <w:rFonts w:ascii="Times New Roman" w:hAnsi="Times New Roman" w:cs="Times New Roman"/>
          <w:sz w:val="28"/>
          <w:szCs w:val="28"/>
        </w:rPr>
        <w:t xml:space="preserve">человека (1437 человек в 2012 году) и снизилась в 2,0 раза относительно предыдущего года. </w:t>
      </w:r>
    </w:p>
    <w:p w:rsidR="006630F9" w:rsidRPr="00EC20F8" w:rsidRDefault="006630F9" w:rsidP="006630F9">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Миграционный прирост обеспечен в основном международной миграцией (1832 человека) , 97 % миграционного потока которой составляет миграция стран Союза независимых</w:t>
      </w:r>
      <w:r w:rsidR="00DE2F76" w:rsidRPr="00EC20F8">
        <w:rPr>
          <w:rFonts w:ascii="Times New Roman" w:hAnsi="Times New Roman" w:cs="Times New Roman"/>
          <w:sz w:val="28"/>
          <w:szCs w:val="28"/>
        </w:rPr>
        <w:t xml:space="preserve"> государств. </w:t>
      </w:r>
      <w:proofErr w:type="spellStart"/>
      <w:r w:rsidRPr="00EC20F8">
        <w:rPr>
          <w:rFonts w:ascii="Times New Roman" w:hAnsi="Times New Roman" w:cs="Times New Roman"/>
          <w:sz w:val="28"/>
          <w:szCs w:val="28"/>
        </w:rPr>
        <w:t>Внутрирегиональный</w:t>
      </w:r>
      <w:proofErr w:type="spellEnd"/>
      <w:r w:rsidRPr="00EC20F8">
        <w:rPr>
          <w:rFonts w:ascii="Times New Roman" w:hAnsi="Times New Roman" w:cs="Times New Roman"/>
          <w:sz w:val="28"/>
          <w:szCs w:val="28"/>
        </w:rPr>
        <w:t xml:space="preserve"> миграционный прирост составил 398 человек. Со всеми федеральными округами (межрегиональная миграция) зафиксировано отрицательное сальдо миграции (- 1</w:t>
      </w:r>
      <w:r w:rsidR="00DE2F76" w:rsidRPr="00EC20F8">
        <w:rPr>
          <w:rFonts w:ascii="Times New Roman" w:hAnsi="Times New Roman" w:cs="Times New Roman"/>
          <w:sz w:val="28"/>
          <w:szCs w:val="28"/>
        </w:rPr>
        <w:t xml:space="preserve"> </w:t>
      </w:r>
      <w:r w:rsidRPr="00EC20F8">
        <w:rPr>
          <w:rFonts w:ascii="Times New Roman" w:hAnsi="Times New Roman" w:cs="Times New Roman"/>
          <w:sz w:val="28"/>
          <w:szCs w:val="28"/>
        </w:rPr>
        <w:t>536 человек).</w:t>
      </w:r>
    </w:p>
    <w:p w:rsidR="006630F9" w:rsidRPr="00EC20F8" w:rsidRDefault="006630F9" w:rsidP="006630F9">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Половина всех миграционных перемещений (сумма прибывших и выбывших) обусловлена трудовой миграцией, выезжают также на постоянное место жительства на материк (пожилые люди), на учебу.</w:t>
      </w:r>
    </w:p>
    <w:p w:rsidR="006630F9" w:rsidRPr="00EC20F8" w:rsidRDefault="006630F9" w:rsidP="006630F9">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Миграция оказывает большое влияние и на половозрастную структуру населения городского округа. Наиболее высокой подвижностью обладает население в трудоспособном возрасте. Лица данной группы составляют более трех четвертей всей миграции городского округа. </w:t>
      </w:r>
    </w:p>
    <w:p w:rsidR="006630F9" w:rsidRPr="00EC20F8" w:rsidRDefault="006630F9" w:rsidP="006630F9">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В 2013году доля трудоспособного населения в составе прибывшего и выбывшего населения составила 87,1 % и 78,1 % соответственно.</w:t>
      </w:r>
    </w:p>
    <w:p w:rsidR="006630F9" w:rsidRPr="00EC20F8" w:rsidRDefault="006630F9" w:rsidP="006630F9">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Доля населения с</w:t>
      </w:r>
      <w:r w:rsidR="00DE2F76" w:rsidRPr="00EC20F8">
        <w:rPr>
          <w:rFonts w:ascii="Times New Roman" w:hAnsi="Times New Roman" w:cs="Times New Roman"/>
          <w:sz w:val="28"/>
          <w:szCs w:val="28"/>
        </w:rPr>
        <w:t xml:space="preserve">тарше трудоспособного возраста </w:t>
      </w:r>
      <w:r w:rsidRPr="00EC20F8">
        <w:rPr>
          <w:rFonts w:ascii="Times New Roman" w:hAnsi="Times New Roman" w:cs="Times New Roman"/>
          <w:sz w:val="28"/>
          <w:szCs w:val="28"/>
        </w:rPr>
        <w:t xml:space="preserve">в составе </w:t>
      </w:r>
      <w:proofErr w:type="gramStart"/>
      <w:r w:rsidRPr="00EC20F8">
        <w:rPr>
          <w:rFonts w:ascii="Times New Roman" w:hAnsi="Times New Roman" w:cs="Times New Roman"/>
          <w:sz w:val="28"/>
          <w:szCs w:val="28"/>
        </w:rPr>
        <w:t>выбывших</w:t>
      </w:r>
      <w:proofErr w:type="gramEnd"/>
      <w:r w:rsidRPr="00EC20F8">
        <w:rPr>
          <w:rFonts w:ascii="Times New Roman" w:hAnsi="Times New Roman" w:cs="Times New Roman"/>
          <w:sz w:val="28"/>
          <w:szCs w:val="28"/>
        </w:rPr>
        <w:t xml:space="preserve"> с террито</w:t>
      </w:r>
      <w:r w:rsidR="00DE2F76" w:rsidRPr="00EC20F8">
        <w:rPr>
          <w:rFonts w:ascii="Times New Roman" w:hAnsi="Times New Roman" w:cs="Times New Roman"/>
          <w:sz w:val="28"/>
          <w:szCs w:val="28"/>
        </w:rPr>
        <w:t>рии городского округа составила</w:t>
      </w:r>
      <w:r w:rsidRPr="00EC20F8">
        <w:rPr>
          <w:rFonts w:ascii="Times New Roman" w:hAnsi="Times New Roman" w:cs="Times New Roman"/>
          <w:sz w:val="28"/>
          <w:szCs w:val="28"/>
        </w:rPr>
        <w:t xml:space="preserve"> 11,1 % и пре</w:t>
      </w:r>
      <w:r w:rsidR="00DE2F76" w:rsidRPr="00EC20F8">
        <w:rPr>
          <w:rFonts w:ascii="Times New Roman" w:hAnsi="Times New Roman" w:cs="Times New Roman"/>
          <w:sz w:val="28"/>
          <w:szCs w:val="28"/>
        </w:rPr>
        <w:t xml:space="preserve">высила долю прибывших на 6,7 % </w:t>
      </w:r>
      <w:r w:rsidRPr="00EC20F8">
        <w:rPr>
          <w:rFonts w:ascii="Times New Roman" w:hAnsi="Times New Roman" w:cs="Times New Roman"/>
          <w:sz w:val="28"/>
          <w:szCs w:val="28"/>
        </w:rPr>
        <w:t>(</w:t>
      </w:r>
      <w:proofErr w:type="spellStart"/>
      <w:r w:rsidRPr="00EC20F8">
        <w:rPr>
          <w:rFonts w:ascii="Times New Roman" w:hAnsi="Times New Roman" w:cs="Times New Roman"/>
          <w:sz w:val="28"/>
          <w:szCs w:val="28"/>
        </w:rPr>
        <w:t>справочно</w:t>
      </w:r>
      <w:proofErr w:type="spellEnd"/>
      <w:r w:rsidRPr="00EC20F8">
        <w:rPr>
          <w:rFonts w:ascii="Times New Roman" w:hAnsi="Times New Roman" w:cs="Times New Roman"/>
          <w:sz w:val="28"/>
          <w:szCs w:val="28"/>
        </w:rPr>
        <w:t xml:space="preserve">: в 2012 году - 14,5 %, превысила долю прибывших на 9,9 %). </w:t>
      </w:r>
      <w:proofErr w:type="gramStart"/>
      <w:r w:rsidRPr="00EC20F8">
        <w:rPr>
          <w:rFonts w:ascii="Times New Roman" w:hAnsi="Times New Roman" w:cs="Times New Roman"/>
          <w:sz w:val="28"/>
          <w:szCs w:val="28"/>
        </w:rPr>
        <w:t>Рост числа выезжающих пожилых людей является следствием стремления этой категории мигрантов ограничить время своего проживания на Севере по возможности периодом работы.</w:t>
      </w:r>
      <w:proofErr w:type="gramEnd"/>
    </w:p>
    <w:p w:rsidR="006630F9" w:rsidRPr="00EC20F8" w:rsidRDefault="006630F9" w:rsidP="006630F9">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Доля населения моложе трудоспособного возраста в составе </w:t>
      </w:r>
      <w:proofErr w:type="gramStart"/>
      <w:r w:rsidRPr="00EC20F8">
        <w:rPr>
          <w:rFonts w:ascii="Times New Roman" w:hAnsi="Times New Roman" w:cs="Times New Roman"/>
          <w:sz w:val="28"/>
          <w:szCs w:val="28"/>
        </w:rPr>
        <w:t>выбывших</w:t>
      </w:r>
      <w:proofErr w:type="gramEnd"/>
      <w:r w:rsidRPr="00EC20F8">
        <w:rPr>
          <w:rFonts w:ascii="Times New Roman" w:hAnsi="Times New Roman" w:cs="Times New Roman"/>
          <w:sz w:val="28"/>
          <w:szCs w:val="28"/>
        </w:rPr>
        <w:t xml:space="preserve"> выше доли прибывших на 2,4 % и составила 10,5 % и 8,1 %, соотв</w:t>
      </w:r>
      <w:r w:rsidR="00DE2F76" w:rsidRPr="00EC20F8">
        <w:rPr>
          <w:rFonts w:ascii="Times New Roman" w:hAnsi="Times New Roman" w:cs="Times New Roman"/>
          <w:sz w:val="28"/>
          <w:szCs w:val="28"/>
        </w:rPr>
        <w:t xml:space="preserve">етственно (в 2012 году - 14,5 % и </w:t>
      </w:r>
      <w:r w:rsidRPr="00EC20F8">
        <w:rPr>
          <w:rFonts w:ascii="Times New Roman" w:hAnsi="Times New Roman" w:cs="Times New Roman"/>
          <w:sz w:val="28"/>
          <w:szCs w:val="28"/>
        </w:rPr>
        <w:t>9,1 % соответственно).</w:t>
      </w:r>
    </w:p>
    <w:p w:rsidR="006630F9" w:rsidRPr="00EC20F8" w:rsidRDefault="006630F9" w:rsidP="006630F9">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В последние три</w:t>
      </w:r>
      <w:r w:rsidR="00DE2F76" w:rsidRPr="00EC20F8">
        <w:rPr>
          <w:rFonts w:ascii="Times New Roman" w:hAnsi="Times New Roman" w:cs="Times New Roman"/>
          <w:sz w:val="28"/>
          <w:szCs w:val="28"/>
        </w:rPr>
        <w:t xml:space="preserve"> года усилилась </w:t>
      </w:r>
      <w:r w:rsidRPr="00EC20F8">
        <w:rPr>
          <w:rFonts w:ascii="Times New Roman" w:hAnsi="Times New Roman" w:cs="Times New Roman"/>
          <w:sz w:val="28"/>
          <w:szCs w:val="28"/>
        </w:rPr>
        <w:t>тенденция ухудшения возрастной структуры населения, определяющаяся фактором замещения поколений. В трудоспособный возра</w:t>
      </w:r>
      <w:proofErr w:type="gramStart"/>
      <w:r w:rsidRPr="00EC20F8">
        <w:rPr>
          <w:rFonts w:ascii="Times New Roman" w:hAnsi="Times New Roman" w:cs="Times New Roman"/>
          <w:sz w:val="28"/>
          <w:szCs w:val="28"/>
        </w:rPr>
        <w:t>ст вст</w:t>
      </w:r>
      <w:proofErr w:type="gramEnd"/>
      <w:r w:rsidRPr="00EC20F8">
        <w:rPr>
          <w:rFonts w:ascii="Times New Roman" w:hAnsi="Times New Roman" w:cs="Times New Roman"/>
          <w:sz w:val="28"/>
          <w:szCs w:val="28"/>
        </w:rPr>
        <w:t>упают относительно малочисленное поколение людей, рожденных в 1990-е годы, а выбывает многочисленное поколение рожденных в послевоенные годы.</w:t>
      </w:r>
    </w:p>
    <w:p w:rsidR="006630F9" w:rsidRPr="00EC20F8" w:rsidRDefault="006630F9" w:rsidP="006630F9">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По причине ежегодного увеличения количества лиц пенсионного возраста (в 2005 году удельный вес пенсионеров в общей численности населения городского округа составлял 22,4%, в 2012 году – 27,7%, а к 2016 году вырастет до 29,7%) показатель общей демографической нагрузки ежегодно увеличивается (таблица </w:t>
      </w:r>
      <w:r w:rsidR="00F86837" w:rsidRPr="00EC20F8">
        <w:rPr>
          <w:rFonts w:ascii="Times New Roman" w:hAnsi="Times New Roman" w:cs="Times New Roman"/>
          <w:sz w:val="28"/>
          <w:szCs w:val="28"/>
        </w:rPr>
        <w:t>6.</w:t>
      </w:r>
      <w:r w:rsidRPr="00EC20F8">
        <w:rPr>
          <w:rFonts w:ascii="Times New Roman" w:hAnsi="Times New Roman" w:cs="Times New Roman"/>
          <w:sz w:val="28"/>
          <w:szCs w:val="28"/>
        </w:rPr>
        <w:t xml:space="preserve">1.): </w:t>
      </w:r>
    </w:p>
    <w:p w:rsidR="006630F9" w:rsidRPr="00EC20F8" w:rsidRDefault="006630F9" w:rsidP="006630F9">
      <w:pPr>
        <w:widowControl w:val="0"/>
        <w:ind w:firstLine="709"/>
        <w:jc w:val="right"/>
        <w:rPr>
          <w:rFonts w:ascii="Times New Roman" w:hAnsi="Times New Roman" w:cs="Times New Roman"/>
          <w:i/>
          <w:sz w:val="24"/>
          <w:szCs w:val="24"/>
        </w:rPr>
      </w:pPr>
      <w:r w:rsidRPr="00EC20F8">
        <w:rPr>
          <w:rFonts w:ascii="Times New Roman" w:hAnsi="Times New Roman" w:cs="Times New Roman"/>
          <w:i/>
          <w:sz w:val="24"/>
          <w:szCs w:val="24"/>
        </w:rPr>
        <w:t>на начало года</w:t>
      </w:r>
    </w:p>
    <w:tbl>
      <w:tblPr>
        <w:tblStyle w:val="afd"/>
        <w:tblW w:w="0" w:type="auto"/>
        <w:jc w:val="center"/>
        <w:tblLook w:val="04A0"/>
      </w:tblPr>
      <w:tblGrid>
        <w:gridCol w:w="2392"/>
        <w:gridCol w:w="2393"/>
        <w:gridCol w:w="2393"/>
        <w:gridCol w:w="2393"/>
      </w:tblGrid>
      <w:tr w:rsidR="006630F9" w:rsidRPr="00EC20F8" w:rsidTr="000663EB">
        <w:trPr>
          <w:jc w:val="center"/>
        </w:trPr>
        <w:tc>
          <w:tcPr>
            <w:tcW w:w="2392" w:type="dxa"/>
            <w:vMerge w:val="restart"/>
            <w:vAlign w:val="center"/>
          </w:tcPr>
          <w:p w:rsidR="006630F9" w:rsidRPr="00EC20F8" w:rsidRDefault="006630F9" w:rsidP="000663EB">
            <w:pPr>
              <w:widowControl w:val="0"/>
              <w:jc w:val="center"/>
              <w:rPr>
                <w:rFonts w:ascii="Times New Roman" w:hAnsi="Times New Roman" w:cs="Times New Roman"/>
                <w:i/>
                <w:sz w:val="24"/>
                <w:szCs w:val="24"/>
              </w:rPr>
            </w:pPr>
          </w:p>
        </w:tc>
        <w:tc>
          <w:tcPr>
            <w:tcW w:w="7179" w:type="dxa"/>
            <w:gridSpan w:val="3"/>
            <w:vAlign w:val="center"/>
          </w:tcPr>
          <w:p w:rsidR="006630F9" w:rsidRPr="00EC20F8" w:rsidRDefault="006630F9" w:rsidP="000663EB">
            <w:pPr>
              <w:widowControl w:val="0"/>
              <w:jc w:val="center"/>
              <w:rPr>
                <w:rFonts w:ascii="Times New Roman" w:hAnsi="Times New Roman" w:cs="Times New Roman"/>
                <w:sz w:val="24"/>
                <w:szCs w:val="24"/>
              </w:rPr>
            </w:pPr>
            <w:r w:rsidRPr="00EC20F8">
              <w:rPr>
                <w:rFonts w:ascii="Times New Roman" w:hAnsi="Times New Roman" w:cs="Times New Roman"/>
                <w:sz w:val="24"/>
                <w:szCs w:val="24"/>
              </w:rPr>
              <w:t>На 1 000 человек трудоспособного возраста приходится лиц нетрудоспособного возраста</w:t>
            </w:r>
          </w:p>
        </w:tc>
      </w:tr>
      <w:tr w:rsidR="006630F9" w:rsidRPr="00EC20F8" w:rsidTr="000663EB">
        <w:trPr>
          <w:trHeight w:val="182"/>
          <w:jc w:val="center"/>
        </w:trPr>
        <w:tc>
          <w:tcPr>
            <w:tcW w:w="2392" w:type="dxa"/>
            <w:vMerge/>
            <w:vAlign w:val="center"/>
          </w:tcPr>
          <w:p w:rsidR="006630F9" w:rsidRPr="00EC20F8" w:rsidRDefault="006630F9" w:rsidP="000663EB">
            <w:pPr>
              <w:widowControl w:val="0"/>
              <w:jc w:val="center"/>
              <w:rPr>
                <w:rFonts w:ascii="Times New Roman" w:hAnsi="Times New Roman" w:cs="Times New Roman"/>
                <w:sz w:val="24"/>
                <w:szCs w:val="24"/>
              </w:rPr>
            </w:pPr>
          </w:p>
        </w:tc>
        <w:tc>
          <w:tcPr>
            <w:tcW w:w="2393" w:type="dxa"/>
            <w:vMerge w:val="restart"/>
            <w:vAlign w:val="center"/>
          </w:tcPr>
          <w:p w:rsidR="006630F9" w:rsidRPr="00EC20F8" w:rsidRDefault="006630F9" w:rsidP="000663EB">
            <w:pPr>
              <w:widowControl w:val="0"/>
              <w:jc w:val="center"/>
              <w:rPr>
                <w:rFonts w:ascii="Times New Roman" w:hAnsi="Times New Roman" w:cs="Times New Roman"/>
                <w:sz w:val="24"/>
                <w:szCs w:val="24"/>
              </w:rPr>
            </w:pPr>
            <w:r w:rsidRPr="00EC20F8">
              <w:rPr>
                <w:rFonts w:ascii="Times New Roman" w:hAnsi="Times New Roman" w:cs="Times New Roman"/>
              </w:rPr>
              <w:t>всего</w:t>
            </w:r>
          </w:p>
        </w:tc>
        <w:tc>
          <w:tcPr>
            <w:tcW w:w="4786" w:type="dxa"/>
            <w:gridSpan w:val="2"/>
            <w:vAlign w:val="center"/>
          </w:tcPr>
          <w:p w:rsidR="006630F9" w:rsidRPr="00EC20F8" w:rsidRDefault="006630F9" w:rsidP="000663EB">
            <w:pPr>
              <w:widowControl w:val="0"/>
              <w:jc w:val="center"/>
              <w:rPr>
                <w:rFonts w:ascii="Times New Roman" w:hAnsi="Times New Roman" w:cs="Times New Roman"/>
                <w:sz w:val="24"/>
                <w:szCs w:val="24"/>
              </w:rPr>
            </w:pPr>
            <w:r w:rsidRPr="00EC20F8">
              <w:rPr>
                <w:rFonts w:ascii="Times New Roman" w:hAnsi="Times New Roman" w:cs="Times New Roman"/>
                <w:sz w:val="24"/>
                <w:szCs w:val="24"/>
              </w:rPr>
              <w:t>в том числе</w:t>
            </w:r>
          </w:p>
        </w:tc>
      </w:tr>
      <w:tr w:rsidR="006630F9" w:rsidRPr="00EC20F8" w:rsidTr="000663EB">
        <w:trPr>
          <w:jc w:val="center"/>
        </w:trPr>
        <w:tc>
          <w:tcPr>
            <w:tcW w:w="2392" w:type="dxa"/>
            <w:vMerge/>
            <w:vAlign w:val="center"/>
          </w:tcPr>
          <w:p w:rsidR="006630F9" w:rsidRPr="00EC20F8" w:rsidRDefault="006630F9" w:rsidP="000663EB">
            <w:pPr>
              <w:widowControl w:val="0"/>
              <w:jc w:val="center"/>
              <w:rPr>
                <w:rFonts w:ascii="Times New Roman" w:hAnsi="Times New Roman" w:cs="Times New Roman"/>
                <w:sz w:val="24"/>
                <w:szCs w:val="24"/>
              </w:rPr>
            </w:pPr>
          </w:p>
        </w:tc>
        <w:tc>
          <w:tcPr>
            <w:tcW w:w="2393" w:type="dxa"/>
            <w:vMerge/>
            <w:vAlign w:val="center"/>
          </w:tcPr>
          <w:p w:rsidR="006630F9" w:rsidRPr="00EC20F8" w:rsidRDefault="006630F9" w:rsidP="000663EB">
            <w:pPr>
              <w:widowControl w:val="0"/>
              <w:jc w:val="center"/>
              <w:rPr>
                <w:rFonts w:ascii="Times New Roman" w:hAnsi="Times New Roman" w:cs="Times New Roman"/>
              </w:rPr>
            </w:pPr>
          </w:p>
        </w:tc>
        <w:tc>
          <w:tcPr>
            <w:tcW w:w="2393" w:type="dxa"/>
            <w:vAlign w:val="center"/>
          </w:tcPr>
          <w:p w:rsidR="006630F9" w:rsidRPr="00EC20F8" w:rsidRDefault="006630F9" w:rsidP="000663EB">
            <w:pPr>
              <w:widowControl w:val="0"/>
              <w:jc w:val="center"/>
              <w:rPr>
                <w:rFonts w:ascii="Times New Roman" w:hAnsi="Times New Roman" w:cs="Times New Roman"/>
              </w:rPr>
            </w:pPr>
            <w:r w:rsidRPr="00EC20F8">
              <w:rPr>
                <w:rFonts w:ascii="Times New Roman" w:hAnsi="Times New Roman" w:cs="Times New Roman"/>
              </w:rPr>
              <w:t>моложе трудоспособного возраста</w:t>
            </w:r>
          </w:p>
        </w:tc>
        <w:tc>
          <w:tcPr>
            <w:tcW w:w="2393" w:type="dxa"/>
            <w:vAlign w:val="center"/>
          </w:tcPr>
          <w:p w:rsidR="006630F9" w:rsidRPr="00EC20F8" w:rsidRDefault="006630F9" w:rsidP="000663EB">
            <w:pPr>
              <w:widowControl w:val="0"/>
              <w:jc w:val="center"/>
              <w:rPr>
                <w:rFonts w:ascii="Times New Roman" w:hAnsi="Times New Roman" w:cs="Times New Roman"/>
              </w:rPr>
            </w:pPr>
            <w:r w:rsidRPr="00EC20F8">
              <w:rPr>
                <w:rFonts w:ascii="Times New Roman" w:hAnsi="Times New Roman" w:cs="Times New Roman"/>
              </w:rPr>
              <w:t>старше трудоспособного возраста</w:t>
            </w:r>
          </w:p>
        </w:tc>
      </w:tr>
      <w:tr w:rsidR="006630F9" w:rsidRPr="00EC20F8" w:rsidTr="000663EB">
        <w:trPr>
          <w:jc w:val="center"/>
        </w:trPr>
        <w:tc>
          <w:tcPr>
            <w:tcW w:w="2392" w:type="dxa"/>
            <w:vAlign w:val="center"/>
          </w:tcPr>
          <w:p w:rsidR="006630F9" w:rsidRPr="00EC20F8" w:rsidRDefault="006630F9" w:rsidP="000663EB">
            <w:pPr>
              <w:widowControl w:val="0"/>
              <w:jc w:val="center"/>
              <w:rPr>
                <w:rFonts w:ascii="Times New Roman" w:hAnsi="Times New Roman" w:cs="Times New Roman"/>
              </w:rPr>
            </w:pPr>
            <w:r w:rsidRPr="00EC20F8">
              <w:rPr>
                <w:rFonts w:ascii="Times New Roman" w:hAnsi="Times New Roman" w:cs="Times New Roman"/>
              </w:rPr>
              <w:t>2010</w:t>
            </w:r>
          </w:p>
        </w:tc>
        <w:tc>
          <w:tcPr>
            <w:tcW w:w="2393" w:type="dxa"/>
            <w:vAlign w:val="center"/>
          </w:tcPr>
          <w:p w:rsidR="006630F9" w:rsidRPr="00EC20F8" w:rsidRDefault="006630F9" w:rsidP="000663EB">
            <w:pPr>
              <w:widowControl w:val="0"/>
              <w:jc w:val="center"/>
              <w:rPr>
                <w:rFonts w:ascii="Times New Roman" w:hAnsi="Times New Roman" w:cs="Times New Roman"/>
              </w:rPr>
            </w:pPr>
            <w:r w:rsidRPr="00EC20F8">
              <w:rPr>
                <w:rFonts w:ascii="Times New Roman" w:hAnsi="Times New Roman" w:cs="Times New Roman"/>
              </w:rPr>
              <w:t>516</w:t>
            </w:r>
          </w:p>
        </w:tc>
        <w:tc>
          <w:tcPr>
            <w:tcW w:w="2393" w:type="dxa"/>
            <w:vAlign w:val="center"/>
          </w:tcPr>
          <w:p w:rsidR="006630F9" w:rsidRPr="00EC20F8" w:rsidRDefault="006630F9" w:rsidP="000663EB">
            <w:pPr>
              <w:widowControl w:val="0"/>
              <w:jc w:val="center"/>
              <w:rPr>
                <w:rFonts w:ascii="Times New Roman" w:hAnsi="Times New Roman" w:cs="Times New Roman"/>
              </w:rPr>
            </w:pPr>
            <w:r w:rsidRPr="00EC20F8">
              <w:rPr>
                <w:rFonts w:ascii="Times New Roman" w:hAnsi="Times New Roman" w:cs="Times New Roman"/>
              </w:rPr>
              <w:t>251</w:t>
            </w:r>
          </w:p>
        </w:tc>
        <w:tc>
          <w:tcPr>
            <w:tcW w:w="2393" w:type="dxa"/>
            <w:vAlign w:val="center"/>
          </w:tcPr>
          <w:p w:rsidR="006630F9" w:rsidRPr="00EC20F8" w:rsidRDefault="006630F9" w:rsidP="000663EB">
            <w:pPr>
              <w:widowControl w:val="0"/>
              <w:jc w:val="center"/>
              <w:rPr>
                <w:rFonts w:ascii="Times New Roman" w:hAnsi="Times New Roman" w:cs="Times New Roman"/>
              </w:rPr>
            </w:pPr>
            <w:r w:rsidRPr="00EC20F8">
              <w:rPr>
                <w:rFonts w:ascii="Times New Roman" w:hAnsi="Times New Roman" w:cs="Times New Roman"/>
              </w:rPr>
              <w:t>265</w:t>
            </w:r>
          </w:p>
        </w:tc>
      </w:tr>
      <w:tr w:rsidR="006630F9" w:rsidRPr="00EC20F8" w:rsidTr="000663EB">
        <w:trPr>
          <w:jc w:val="center"/>
        </w:trPr>
        <w:tc>
          <w:tcPr>
            <w:tcW w:w="2392" w:type="dxa"/>
            <w:vAlign w:val="center"/>
          </w:tcPr>
          <w:p w:rsidR="006630F9" w:rsidRPr="00EC20F8" w:rsidRDefault="006630F9" w:rsidP="000663EB">
            <w:pPr>
              <w:widowControl w:val="0"/>
              <w:jc w:val="center"/>
              <w:rPr>
                <w:rFonts w:ascii="Times New Roman" w:hAnsi="Times New Roman" w:cs="Times New Roman"/>
              </w:rPr>
            </w:pPr>
            <w:r w:rsidRPr="00EC20F8">
              <w:rPr>
                <w:rFonts w:ascii="Times New Roman" w:hAnsi="Times New Roman" w:cs="Times New Roman"/>
              </w:rPr>
              <w:t>2011</w:t>
            </w:r>
          </w:p>
        </w:tc>
        <w:tc>
          <w:tcPr>
            <w:tcW w:w="2393" w:type="dxa"/>
            <w:vAlign w:val="center"/>
          </w:tcPr>
          <w:p w:rsidR="006630F9" w:rsidRPr="00EC20F8" w:rsidRDefault="006630F9" w:rsidP="000663EB">
            <w:pPr>
              <w:widowControl w:val="0"/>
              <w:jc w:val="center"/>
              <w:rPr>
                <w:rFonts w:ascii="Times New Roman" w:hAnsi="Times New Roman" w:cs="Times New Roman"/>
              </w:rPr>
            </w:pPr>
            <w:r w:rsidRPr="00EC20F8">
              <w:rPr>
                <w:rFonts w:ascii="Times New Roman" w:hAnsi="Times New Roman" w:cs="Times New Roman"/>
              </w:rPr>
              <w:t>514</w:t>
            </w:r>
          </w:p>
        </w:tc>
        <w:tc>
          <w:tcPr>
            <w:tcW w:w="2393" w:type="dxa"/>
            <w:vAlign w:val="center"/>
          </w:tcPr>
          <w:p w:rsidR="006630F9" w:rsidRPr="00EC20F8" w:rsidRDefault="006630F9" w:rsidP="000663EB">
            <w:pPr>
              <w:widowControl w:val="0"/>
              <w:jc w:val="center"/>
              <w:rPr>
                <w:rFonts w:ascii="Times New Roman" w:hAnsi="Times New Roman" w:cs="Times New Roman"/>
              </w:rPr>
            </w:pPr>
            <w:r w:rsidRPr="00EC20F8">
              <w:rPr>
                <w:rFonts w:ascii="Times New Roman" w:hAnsi="Times New Roman" w:cs="Times New Roman"/>
              </w:rPr>
              <w:t>244</w:t>
            </w:r>
          </w:p>
        </w:tc>
        <w:tc>
          <w:tcPr>
            <w:tcW w:w="2393" w:type="dxa"/>
            <w:vAlign w:val="center"/>
          </w:tcPr>
          <w:p w:rsidR="006630F9" w:rsidRPr="00EC20F8" w:rsidRDefault="006630F9" w:rsidP="000663EB">
            <w:pPr>
              <w:widowControl w:val="0"/>
              <w:jc w:val="center"/>
              <w:rPr>
                <w:rFonts w:ascii="Times New Roman" w:hAnsi="Times New Roman" w:cs="Times New Roman"/>
              </w:rPr>
            </w:pPr>
            <w:r w:rsidRPr="00EC20F8">
              <w:rPr>
                <w:rFonts w:ascii="Times New Roman" w:hAnsi="Times New Roman" w:cs="Times New Roman"/>
              </w:rPr>
              <w:t>270</w:t>
            </w:r>
          </w:p>
        </w:tc>
      </w:tr>
      <w:tr w:rsidR="006630F9" w:rsidRPr="00EC20F8" w:rsidTr="000663EB">
        <w:trPr>
          <w:jc w:val="center"/>
        </w:trPr>
        <w:tc>
          <w:tcPr>
            <w:tcW w:w="2392" w:type="dxa"/>
            <w:vAlign w:val="center"/>
          </w:tcPr>
          <w:p w:rsidR="006630F9" w:rsidRPr="00EC20F8" w:rsidRDefault="006630F9" w:rsidP="000663EB">
            <w:pPr>
              <w:widowControl w:val="0"/>
              <w:jc w:val="center"/>
              <w:rPr>
                <w:rFonts w:ascii="Times New Roman" w:hAnsi="Times New Roman" w:cs="Times New Roman"/>
              </w:rPr>
            </w:pPr>
            <w:r w:rsidRPr="00EC20F8">
              <w:rPr>
                <w:rFonts w:ascii="Times New Roman" w:hAnsi="Times New Roman" w:cs="Times New Roman"/>
              </w:rPr>
              <w:t>2012</w:t>
            </w:r>
          </w:p>
        </w:tc>
        <w:tc>
          <w:tcPr>
            <w:tcW w:w="2393" w:type="dxa"/>
            <w:vAlign w:val="center"/>
          </w:tcPr>
          <w:p w:rsidR="006630F9" w:rsidRPr="00EC20F8" w:rsidRDefault="006630F9" w:rsidP="000663EB">
            <w:pPr>
              <w:widowControl w:val="0"/>
              <w:jc w:val="center"/>
              <w:rPr>
                <w:rFonts w:ascii="Times New Roman" w:hAnsi="Times New Roman" w:cs="Times New Roman"/>
              </w:rPr>
            </w:pPr>
            <w:r w:rsidRPr="00EC20F8">
              <w:rPr>
                <w:rFonts w:ascii="Times New Roman" w:hAnsi="Times New Roman" w:cs="Times New Roman"/>
              </w:rPr>
              <w:t>525</w:t>
            </w:r>
          </w:p>
        </w:tc>
        <w:tc>
          <w:tcPr>
            <w:tcW w:w="2393" w:type="dxa"/>
            <w:vAlign w:val="center"/>
          </w:tcPr>
          <w:p w:rsidR="006630F9" w:rsidRPr="00EC20F8" w:rsidRDefault="006630F9" w:rsidP="000663EB">
            <w:pPr>
              <w:widowControl w:val="0"/>
              <w:jc w:val="center"/>
              <w:rPr>
                <w:rFonts w:ascii="Times New Roman" w:hAnsi="Times New Roman" w:cs="Times New Roman"/>
              </w:rPr>
            </w:pPr>
            <w:r w:rsidRPr="00EC20F8">
              <w:rPr>
                <w:rFonts w:ascii="Times New Roman" w:hAnsi="Times New Roman" w:cs="Times New Roman"/>
              </w:rPr>
              <w:t>247</w:t>
            </w:r>
          </w:p>
        </w:tc>
        <w:tc>
          <w:tcPr>
            <w:tcW w:w="2393" w:type="dxa"/>
            <w:vAlign w:val="center"/>
          </w:tcPr>
          <w:p w:rsidR="006630F9" w:rsidRPr="00EC20F8" w:rsidRDefault="006630F9" w:rsidP="000663EB">
            <w:pPr>
              <w:widowControl w:val="0"/>
              <w:jc w:val="center"/>
              <w:rPr>
                <w:rFonts w:ascii="Times New Roman" w:hAnsi="Times New Roman" w:cs="Times New Roman"/>
              </w:rPr>
            </w:pPr>
            <w:r w:rsidRPr="00EC20F8">
              <w:rPr>
                <w:rFonts w:ascii="Times New Roman" w:hAnsi="Times New Roman" w:cs="Times New Roman"/>
              </w:rPr>
              <w:t>278</w:t>
            </w:r>
          </w:p>
        </w:tc>
      </w:tr>
      <w:tr w:rsidR="006630F9" w:rsidRPr="00EC20F8" w:rsidTr="000663EB">
        <w:trPr>
          <w:jc w:val="center"/>
        </w:trPr>
        <w:tc>
          <w:tcPr>
            <w:tcW w:w="2392" w:type="dxa"/>
            <w:vAlign w:val="center"/>
          </w:tcPr>
          <w:p w:rsidR="006630F9" w:rsidRPr="00EC20F8" w:rsidRDefault="006630F9" w:rsidP="000663EB">
            <w:pPr>
              <w:widowControl w:val="0"/>
              <w:jc w:val="center"/>
              <w:rPr>
                <w:rFonts w:ascii="Times New Roman" w:hAnsi="Times New Roman" w:cs="Times New Roman"/>
              </w:rPr>
            </w:pPr>
            <w:r w:rsidRPr="00EC20F8">
              <w:rPr>
                <w:rFonts w:ascii="Times New Roman" w:hAnsi="Times New Roman" w:cs="Times New Roman"/>
              </w:rPr>
              <w:t>2013</w:t>
            </w:r>
          </w:p>
        </w:tc>
        <w:tc>
          <w:tcPr>
            <w:tcW w:w="2393" w:type="dxa"/>
            <w:vAlign w:val="center"/>
          </w:tcPr>
          <w:p w:rsidR="006630F9" w:rsidRPr="00EC20F8" w:rsidRDefault="006630F9" w:rsidP="000663EB">
            <w:pPr>
              <w:widowControl w:val="0"/>
              <w:jc w:val="center"/>
              <w:rPr>
                <w:rFonts w:ascii="Times New Roman" w:hAnsi="Times New Roman" w:cs="Times New Roman"/>
              </w:rPr>
            </w:pPr>
            <w:r w:rsidRPr="00EC20F8">
              <w:rPr>
                <w:rFonts w:ascii="Times New Roman" w:hAnsi="Times New Roman" w:cs="Times New Roman"/>
              </w:rPr>
              <w:t>531</w:t>
            </w:r>
          </w:p>
        </w:tc>
        <w:tc>
          <w:tcPr>
            <w:tcW w:w="2393" w:type="dxa"/>
            <w:vAlign w:val="center"/>
          </w:tcPr>
          <w:p w:rsidR="006630F9" w:rsidRPr="00EC20F8" w:rsidRDefault="006630F9" w:rsidP="000663EB">
            <w:pPr>
              <w:widowControl w:val="0"/>
              <w:jc w:val="center"/>
              <w:rPr>
                <w:rFonts w:ascii="Times New Roman" w:hAnsi="Times New Roman" w:cs="Times New Roman"/>
              </w:rPr>
            </w:pPr>
            <w:r w:rsidRPr="00EC20F8">
              <w:rPr>
                <w:rFonts w:ascii="Times New Roman" w:hAnsi="Times New Roman" w:cs="Times New Roman"/>
              </w:rPr>
              <w:t>250</w:t>
            </w:r>
          </w:p>
        </w:tc>
        <w:tc>
          <w:tcPr>
            <w:tcW w:w="2393" w:type="dxa"/>
            <w:vAlign w:val="center"/>
          </w:tcPr>
          <w:p w:rsidR="006630F9" w:rsidRPr="00EC20F8" w:rsidRDefault="006630F9" w:rsidP="000663EB">
            <w:pPr>
              <w:widowControl w:val="0"/>
              <w:jc w:val="center"/>
              <w:rPr>
                <w:rFonts w:ascii="Times New Roman" w:hAnsi="Times New Roman" w:cs="Times New Roman"/>
              </w:rPr>
            </w:pPr>
            <w:r w:rsidRPr="00EC20F8">
              <w:rPr>
                <w:rFonts w:ascii="Times New Roman" w:hAnsi="Times New Roman" w:cs="Times New Roman"/>
              </w:rPr>
              <w:t>281</w:t>
            </w:r>
          </w:p>
        </w:tc>
      </w:tr>
    </w:tbl>
    <w:p w:rsidR="00C07602" w:rsidRPr="00EC20F8" w:rsidRDefault="00C07602" w:rsidP="006630F9">
      <w:pPr>
        <w:widowControl w:val="0"/>
        <w:ind w:firstLine="709"/>
        <w:jc w:val="center"/>
        <w:rPr>
          <w:rFonts w:ascii="Times New Roman" w:hAnsi="Times New Roman" w:cs="Times New Roman"/>
          <w:i/>
          <w:sz w:val="12"/>
          <w:szCs w:val="12"/>
        </w:rPr>
      </w:pPr>
    </w:p>
    <w:p w:rsidR="006630F9" w:rsidRPr="00EC20F8" w:rsidRDefault="006630F9" w:rsidP="006630F9">
      <w:pPr>
        <w:widowControl w:val="0"/>
        <w:ind w:firstLine="709"/>
        <w:jc w:val="center"/>
        <w:rPr>
          <w:rFonts w:ascii="Times New Roman" w:hAnsi="Times New Roman" w:cs="Times New Roman"/>
          <w:i/>
          <w:sz w:val="24"/>
          <w:szCs w:val="24"/>
        </w:rPr>
      </w:pPr>
      <w:r w:rsidRPr="00EC20F8">
        <w:rPr>
          <w:rFonts w:ascii="Times New Roman" w:hAnsi="Times New Roman" w:cs="Times New Roman"/>
          <w:i/>
          <w:sz w:val="24"/>
          <w:szCs w:val="24"/>
        </w:rPr>
        <w:t xml:space="preserve">Таблица </w:t>
      </w:r>
      <w:r w:rsidR="00F86837" w:rsidRPr="00EC20F8">
        <w:rPr>
          <w:rFonts w:ascii="Times New Roman" w:hAnsi="Times New Roman" w:cs="Times New Roman"/>
          <w:i/>
          <w:sz w:val="24"/>
          <w:szCs w:val="24"/>
        </w:rPr>
        <w:t>6.</w:t>
      </w:r>
      <w:r w:rsidRPr="00EC20F8">
        <w:rPr>
          <w:rFonts w:ascii="Times New Roman" w:hAnsi="Times New Roman" w:cs="Times New Roman"/>
          <w:i/>
          <w:sz w:val="24"/>
          <w:szCs w:val="24"/>
        </w:rPr>
        <w:t>1. Коэффициент демографической нагрузки</w:t>
      </w:r>
    </w:p>
    <w:p w:rsidR="00C07602" w:rsidRPr="00EC20F8" w:rsidRDefault="00C07602" w:rsidP="006630F9">
      <w:pPr>
        <w:widowControl w:val="0"/>
        <w:ind w:firstLine="709"/>
        <w:jc w:val="both"/>
        <w:rPr>
          <w:rFonts w:ascii="Times New Roman" w:hAnsi="Times New Roman" w:cs="Times New Roman"/>
          <w:sz w:val="28"/>
          <w:szCs w:val="28"/>
        </w:rPr>
      </w:pPr>
    </w:p>
    <w:p w:rsidR="006630F9" w:rsidRPr="00EC20F8" w:rsidRDefault="006630F9" w:rsidP="006630F9">
      <w:pPr>
        <w:widowControl w:val="0"/>
        <w:ind w:firstLine="709"/>
        <w:jc w:val="both"/>
        <w:rPr>
          <w:rFonts w:ascii="Times New Roman" w:hAnsi="Times New Roman" w:cs="Times New Roman"/>
          <w:b/>
          <w:bCs/>
          <w:i/>
          <w:iCs/>
          <w:sz w:val="28"/>
          <w:szCs w:val="28"/>
        </w:rPr>
      </w:pPr>
      <w:r w:rsidRPr="00EC20F8">
        <w:rPr>
          <w:rFonts w:ascii="Times New Roman" w:hAnsi="Times New Roman" w:cs="Times New Roman"/>
          <w:sz w:val="28"/>
          <w:szCs w:val="28"/>
        </w:rPr>
        <w:t>Продолжающийся процесс старения населения выражается в ухудшении соотношения возрастных групп моложе и старше трудоспособного возраста (рисунок 6.2.):</w:t>
      </w:r>
    </w:p>
    <w:p w:rsidR="006630F9" w:rsidRPr="00EC20F8" w:rsidRDefault="006630F9" w:rsidP="006630F9">
      <w:pPr>
        <w:widowControl w:val="0"/>
        <w:spacing w:line="240" w:lineRule="auto"/>
        <w:ind w:firstLine="709"/>
        <w:jc w:val="both"/>
        <w:rPr>
          <w:rFonts w:ascii="Times New Roman" w:hAnsi="Times New Roman" w:cs="Times New Roman"/>
          <w:sz w:val="12"/>
          <w:szCs w:val="12"/>
        </w:rPr>
      </w:pPr>
    </w:p>
    <w:p w:rsidR="006630F9" w:rsidRPr="00EC20F8" w:rsidRDefault="006630F9" w:rsidP="006630F9">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noProof/>
          <w:sz w:val="28"/>
          <w:szCs w:val="28"/>
          <w:lang w:eastAsia="ru-RU"/>
        </w:rPr>
        <w:drawing>
          <wp:inline distT="0" distB="0" distL="0" distR="0">
            <wp:extent cx="4600575" cy="1847850"/>
            <wp:effectExtent l="0" t="0" r="0" b="0"/>
            <wp:docPr id="2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6630F9" w:rsidRPr="00EC20F8" w:rsidRDefault="006630F9" w:rsidP="006630F9">
      <w:pPr>
        <w:widowControl w:val="0"/>
        <w:spacing w:line="240" w:lineRule="auto"/>
        <w:jc w:val="center"/>
        <w:rPr>
          <w:rFonts w:ascii="Times New Roman" w:hAnsi="Times New Roman" w:cs="Times New Roman"/>
          <w:i/>
          <w:iCs/>
          <w:spacing w:val="2"/>
          <w:sz w:val="24"/>
          <w:szCs w:val="24"/>
        </w:rPr>
      </w:pPr>
      <w:r w:rsidRPr="00EC20F8">
        <w:rPr>
          <w:rFonts w:ascii="Times New Roman" w:hAnsi="Times New Roman" w:cs="Times New Roman"/>
          <w:i/>
          <w:iCs/>
          <w:spacing w:val="2"/>
          <w:sz w:val="24"/>
          <w:szCs w:val="24"/>
        </w:rPr>
        <w:t xml:space="preserve">Рис.6.2.  Распределение численности населения по возрастным группам, на начало года       </w:t>
      </w:r>
      <w:proofErr w:type="gramStart"/>
      <w:r w:rsidRPr="00EC20F8">
        <w:rPr>
          <w:rFonts w:ascii="Times New Roman" w:hAnsi="Times New Roman" w:cs="Times New Roman"/>
          <w:i/>
          <w:iCs/>
          <w:spacing w:val="2"/>
          <w:sz w:val="24"/>
          <w:szCs w:val="24"/>
        </w:rPr>
        <w:t>в</w:t>
      </w:r>
      <w:proofErr w:type="gramEnd"/>
      <w:r w:rsidRPr="00EC20F8">
        <w:rPr>
          <w:rFonts w:ascii="Times New Roman" w:hAnsi="Times New Roman" w:cs="Times New Roman"/>
          <w:i/>
          <w:iCs/>
          <w:spacing w:val="2"/>
          <w:sz w:val="24"/>
          <w:szCs w:val="24"/>
        </w:rPr>
        <w:t xml:space="preserve"> % </w:t>
      </w:r>
      <w:proofErr w:type="gramStart"/>
      <w:r w:rsidRPr="00EC20F8">
        <w:rPr>
          <w:rFonts w:ascii="Times New Roman" w:hAnsi="Times New Roman" w:cs="Times New Roman"/>
          <w:i/>
          <w:iCs/>
          <w:spacing w:val="2"/>
          <w:sz w:val="24"/>
          <w:szCs w:val="24"/>
        </w:rPr>
        <w:t>к</w:t>
      </w:r>
      <w:proofErr w:type="gramEnd"/>
      <w:r w:rsidRPr="00EC20F8">
        <w:rPr>
          <w:rFonts w:ascii="Times New Roman" w:hAnsi="Times New Roman" w:cs="Times New Roman"/>
          <w:i/>
          <w:iCs/>
          <w:spacing w:val="2"/>
          <w:sz w:val="24"/>
          <w:szCs w:val="24"/>
        </w:rPr>
        <w:t xml:space="preserve"> общей численности населения</w:t>
      </w:r>
    </w:p>
    <w:p w:rsidR="006630F9" w:rsidRPr="00EC20F8" w:rsidRDefault="006630F9" w:rsidP="006630F9">
      <w:pPr>
        <w:widowControl w:val="0"/>
        <w:ind w:firstLine="709"/>
        <w:jc w:val="both"/>
        <w:rPr>
          <w:rFonts w:ascii="Times New Roman" w:hAnsi="Times New Roman" w:cs="Times New Roman"/>
          <w:sz w:val="28"/>
          <w:szCs w:val="28"/>
        </w:rPr>
      </w:pPr>
      <w:r w:rsidRPr="00EC20F8">
        <w:rPr>
          <w:rFonts w:ascii="Times New Roman" w:hAnsi="Times New Roman" w:cs="Times New Roman"/>
          <w:b/>
          <w:bCs/>
          <w:i/>
          <w:iCs/>
          <w:sz w:val="28"/>
          <w:szCs w:val="28"/>
        </w:rPr>
        <w:t>По оценке</w:t>
      </w:r>
      <w:r w:rsidRPr="00EC20F8">
        <w:rPr>
          <w:rFonts w:ascii="Times New Roman" w:hAnsi="Times New Roman" w:cs="Times New Roman"/>
          <w:bCs/>
          <w:iCs/>
          <w:sz w:val="28"/>
          <w:szCs w:val="28"/>
        </w:rPr>
        <w:t>, в 2014 году</w:t>
      </w:r>
      <w:r w:rsidRPr="00EC20F8">
        <w:rPr>
          <w:rFonts w:ascii="Times New Roman" w:hAnsi="Times New Roman" w:cs="Times New Roman"/>
          <w:sz w:val="28"/>
          <w:szCs w:val="28"/>
        </w:rPr>
        <w:t xml:space="preserve"> рождаемость по сравнению с 2013 годом увеличится. Число родившихся </w:t>
      </w:r>
      <w:r w:rsidR="00C07602" w:rsidRPr="00EC20F8">
        <w:rPr>
          <w:rFonts w:ascii="Times New Roman" w:hAnsi="Times New Roman" w:cs="Times New Roman"/>
          <w:sz w:val="28"/>
          <w:szCs w:val="28"/>
        </w:rPr>
        <w:t xml:space="preserve">ожидается в пределах </w:t>
      </w:r>
      <w:r w:rsidRPr="00EC20F8">
        <w:rPr>
          <w:rFonts w:ascii="Times New Roman" w:hAnsi="Times New Roman" w:cs="Times New Roman"/>
          <w:sz w:val="28"/>
          <w:szCs w:val="28"/>
        </w:rPr>
        <w:t xml:space="preserve"> 2 517 человек (в 2012 году – 2 365 человек). Коэффициент рождаемости по итогам 2014 года оценивается на уровне 13,78  промилле, на 0,78 </w:t>
      </w:r>
      <w:r w:rsidR="00FA7827" w:rsidRPr="00EC20F8">
        <w:rPr>
          <w:rFonts w:ascii="Times New Roman" w:hAnsi="Times New Roman" w:cs="Times New Roman"/>
          <w:sz w:val="28"/>
          <w:szCs w:val="28"/>
        </w:rPr>
        <w:t>%</w:t>
      </w:r>
      <w:r w:rsidRPr="00EC20F8">
        <w:rPr>
          <w:rFonts w:ascii="Times New Roman" w:hAnsi="Times New Roman" w:cs="Times New Roman"/>
          <w:sz w:val="28"/>
          <w:szCs w:val="28"/>
        </w:rPr>
        <w:t xml:space="preserve"> выше уровня 2012 года.</w:t>
      </w:r>
    </w:p>
    <w:p w:rsidR="006630F9" w:rsidRPr="00EC20F8" w:rsidRDefault="006630F9" w:rsidP="006630F9">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В 2014 го</w:t>
      </w:r>
      <w:r w:rsidR="00DE2F76" w:rsidRPr="00EC20F8">
        <w:rPr>
          <w:rFonts w:ascii="Times New Roman" w:hAnsi="Times New Roman" w:cs="Times New Roman"/>
          <w:sz w:val="28"/>
          <w:szCs w:val="28"/>
        </w:rPr>
        <w:t xml:space="preserve">ду показатели смертности </w:t>
      </w:r>
      <w:r w:rsidRPr="00EC20F8">
        <w:rPr>
          <w:rFonts w:ascii="Times New Roman" w:hAnsi="Times New Roman" w:cs="Times New Roman"/>
          <w:sz w:val="28"/>
          <w:szCs w:val="28"/>
        </w:rPr>
        <w:t xml:space="preserve">сохранят тенденцию к снижению. Коэффициент смертности составит 10,6 промилле, что ниже показателя 2013 года на 0,2  промилле. </w:t>
      </w:r>
      <w:proofErr w:type="gramStart"/>
      <w:r w:rsidRPr="00EC20F8">
        <w:rPr>
          <w:rFonts w:ascii="Times New Roman" w:hAnsi="Times New Roman" w:cs="Times New Roman"/>
          <w:sz w:val="28"/>
          <w:szCs w:val="28"/>
        </w:rPr>
        <w:t xml:space="preserve">В результате сохранения показателей рождаемости на уровне предшествующих лет и дальнейшего снижения показателей смертности в 2014 году в городском округе ожидается естественный прирост населения - 3,16 промилле (578 человек).  </w:t>
      </w:r>
      <w:proofErr w:type="gramEnd"/>
    </w:p>
    <w:p w:rsidR="006630F9" w:rsidRPr="00EC20F8" w:rsidRDefault="006630F9" w:rsidP="006630F9">
      <w:pPr>
        <w:widowControl w:val="0"/>
        <w:ind w:firstLine="709"/>
        <w:jc w:val="both"/>
        <w:rPr>
          <w:rFonts w:ascii="Times New Roman" w:eastAsia="Calibri" w:hAnsi="Times New Roman" w:cs="Times New Roman"/>
          <w:sz w:val="28"/>
          <w:szCs w:val="28"/>
        </w:rPr>
      </w:pPr>
      <w:r w:rsidRPr="00EC20F8">
        <w:rPr>
          <w:rFonts w:ascii="Times New Roman" w:hAnsi="Times New Roman" w:cs="Times New Roman"/>
          <w:sz w:val="28"/>
          <w:szCs w:val="28"/>
        </w:rPr>
        <w:t>Существенное влияние на демографическую ситуацию городского округа окажет миграция населения. По оценке, в 2014</w:t>
      </w:r>
      <w:r w:rsidRPr="00EC20F8">
        <w:rPr>
          <w:rFonts w:ascii="Times New Roman" w:hAnsi="Times New Roman" w:cs="Times New Roman"/>
          <w:b/>
          <w:bCs/>
          <w:sz w:val="28"/>
          <w:szCs w:val="28"/>
        </w:rPr>
        <w:t xml:space="preserve"> </w:t>
      </w:r>
      <w:r w:rsidRPr="00EC20F8">
        <w:rPr>
          <w:rFonts w:ascii="Times New Roman" w:hAnsi="Times New Roman" w:cs="Times New Roman"/>
          <w:sz w:val="28"/>
          <w:szCs w:val="28"/>
        </w:rPr>
        <w:t>году,</w:t>
      </w:r>
      <w:r w:rsidRPr="00EC20F8">
        <w:rPr>
          <w:rFonts w:ascii="Times New Roman" w:hAnsi="Times New Roman" w:cs="Times New Roman"/>
          <w:b/>
          <w:bCs/>
          <w:sz w:val="28"/>
          <w:szCs w:val="28"/>
        </w:rPr>
        <w:t xml:space="preserve"> </w:t>
      </w:r>
      <w:r w:rsidRPr="00EC20F8">
        <w:rPr>
          <w:rFonts w:ascii="Times New Roman" w:hAnsi="Times New Roman" w:cs="Times New Roman"/>
          <w:bCs/>
          <w:sz w:val="28"/>
          <w:szCs w:val="28"/>
        </w:rPr>
        <w:t xml:space="preserve">ожидается </w:t>
      </w:r>
      <w:r w:rsidRPr="00EC20F8">
        <w:rPr>
          <w:rFonts w:ascii="Times New Roman" w:eastAsia="Calibri" w:hAnsi="Times New Roman" w:cs="Times New Roman"/>
          <w:sz w:val="28"/>
          <w:szCs w:val="28"/>
        </w:rPr>
        <w:t>отрицательн</w:t>
      </w:r>
      <w:r w:rsidRPr="00EC20F8">
        <w:rPr>
          <w:rFonts w:ascii="Times New Roman" w:hAnsi="Times New Roman" w:cs="Times New Roman"/>
          <w:sz w:val="28"/>
          <w:szCs w:val="28"/>
        </w:rPr>
        <w:t>о</w:t>
      </w:r>
      <w:r w:rsidRPr="00EC20F8">
        <w:rPr>
          <w:rFonts w:ascii="Times New Roman" w:eastAsia="Calibri" w:hAnsi="Times New Roman" w:cs="Times New Roman"/>
          <w:sz w:val="28"/>
          <w:szCs w:val="28"/>
        </w:rPr>
        <w:t xml:space="preserve">е </w:t>
      </w:r>
      <w:r w:rsidRPr="00EC20F8">
        <w:rPr>
          <w:rFonts w:ascii="Times New Roman" w:hAnsi="Times New Roman" w:cs="Times New Roman"/>
          <w:sz w:val="28"/>
          <w:szCs w:val="28"/>
        </w:rPr>
        <w:t>сальдо миграции, которое составит</w:t>
      </w:r>
      <w:r w:rsidRPr="00EC20F8">
        <w:rPr>
          <w:rFonts w:ascii="Times New Roman" w:eastAsia="Calibri" w:hAnsi="Times New Roman" w:cs="Times New Roman"/>
          <w:sz w:val="28"/>
          <w:szCs w:val="28"/>
        </w:rPr>
        <w:t xml:space="preserve"> -</w:t>
      </w:r>
      <w:r w:rsidRPr="00EC20F8">
        <w:rPr>
          <w:rFonts w:ascii="Times New Roman" w:hAnsi="Times New Roman" w:cs="Times New Roman"/>
          <w:sz w:val="28"/>
          <w:szCs w:val="28"/>
        </w:rPr>
        <w:t>3</w:t>
      </w:r>
      <w:r w:rsidRPr="00EC20F8">
        <w:rPr>
          <w:rFonts w:ascii="Times New Roman" w:eastAsia="Calibri" w:hAnsi="Times New Roman" w:cs="Times New Roman"/>
          <w:sz w:val="28"/>
          <w:szCs w:val="28"/>
        </w:rPr>
        <w:t>8,2 промилле на 10 000 человек.</w:t>
      </w:r>
    </w:p>
    <w:p w:rsidR="006630F9" w:rsidRPr="00EC20F8" w:rsidRDefault="006630F9" w:rsidP="006630F9">
      <w:pPr>
        <w:widowControl w:val="0"/>
        <w:ind w:firstLine="709"/>
        <w:jc w:val="both"/>
        <w:rPr>
          <w:rFonts w:ascii="Times New Roman" w:hAnsi="Times New Roman" w:cs="Times New Roman"/>
          <w:sz w:val="28"/>
          <w:szCs w:val="28"/>
        </w:rPr>
      </w:pPr>
      <w:r w:rsidRPr="00EC20F8">
        <w:rPr>
          <w:rFonts w:ascii="Times New Roman" w:eastAsia="Calibri" w:hAnsi="Times New Roman" w:cs="Times New Roman"/>
          <w:sz w:val="28"/>
          <w:szCs w:val="28"/>
        </w:rPr>
        <w:t xml:space="preserve">В 2014 году </w:t>
      </w:r>
      <w:r w:rsidRPr="00EC20F8">
        <w:rPr>
          <w:rFonts w:ascii="Times New Roman" w:hAnsi="Times New Roman" w:cs="Times New Roman"/>
          <w:sz w:val="28"/>
          <w:szCs w:val="28"/>
        </w:rPr>
        <w:t xml:space="preserve">среднегодовая численность </w:t>
      </w:r>
      <w:r w:rsidRPr="00EC20F8">
        <w:rPr>
          <w:rFonts w:ascii="Times New Roman" w:eastAsia="Calibri" w:hAnsi="Times New Roman" w:cs="Times New Roman"/>
          <w:sz w:val="28"/>
          <w:szCs w:val="28"/>
        </w:rPr>
        <w:t xml:space="preserve">населения составит </w:t>
      </w:r>
      <w:r w:rsidRPr="00EC20F8">
        <w:rPr>
          <w:rFonts w:ascii="Times New Roman" w:hAnsi="Times New Roman" w:cs="Times New Roman"/>
          <w:sz w:val="28"/>
          <w:szCs w:val="28"/>
        </w:rPr>
        <w:t>182,</w:t>
      </w:r>
      <w:r w:rsidR="00C07602" w:rsidRPr="00EC20F8">
        <w:rPr>
          <w:rFonts w:ascii="Times New Roman" w:hAnsi="Times New Roman" w:cs="Times New Roman"/>
          <w:sz w:val="28"/>
          <w:szCs w:val="28"/>
        </w:rPr>
        <w:t>65</w:t>
      </w:r>
      <w:r w:rsidRPr="00EC20F8">
        <w:rPr>
          <w:rFonts w:ascii="Times New Roman" w:hAnsi="Times New Roman" w:cs="Times New Roman"/>
          <w:sz w:val="28"/>
          <w:szCs w:val="28"/>
        </w:rPr>
        <w:t xml:space="preserve"> тысяч человек или 100,27 % к уровню 2013 года.</w:t>
      </w:r>
    </w:p>
    <w:p w:rsidR="006630F9" w:rsidRPr="00EC20F8" w:rsidRDefault="006630F9" w:rsidP="006630F9">
      <w:pPr>
        <w:widowControl w:val="0"/>
        <w:autoSpaceDE w:val="0"/>
        <w:autoSpaceDN w:val="0"/>
        <w:adjustRightInd w:val="0"/>
        <w:spacing w:line="240" w:lineRule="auto"/>
        <w:ind w:firstLine="709"/>
        <w:jc w:val="both"/>
        <w:rPr>
          <w:rFonts w:ascii="Times New Roman" w:hAnsi="Times New Roman" w:cs="Times New Roman"/>
          <w:sz w:val="28"/>
          <w:szCs w:val="28"/>
        </w:rPr>
      </w:pPr>
      <w:r w:rsidRPr="00EC20F8">
        <w:rPr>
          <w:rFonts w:ascii="Times New Roman" w:hAnsi="Times New Roman" w:cs="Times New Roman"/>
          <w:bCs/>
          <w:iCs/>
          <w:sz w:val="28"/>
          <w:szCs w:val="28"/>
        </w:rPr>
        <w:t>В развитии демографической ситуации</w:t>
      </w:r>
      <w:r w:rsidRPr="00EC20F8">
        <w:rPr>
          <w:rFonts w:ascii="Times New Roman" w:hAnsi="Times New Roman" w:cs="Times New Roman"/>
          <w:sz w:val="28"/>
          <w:szCs w:val="28"/>
        </w:rPr>
        <w:t xml:space="preserve"> городского</w:t>
      </w:r>
      <w:r w:rsidR="00DE2F76" w:rsidRPr="00EC20F8">
        <w:rPr>
          <w:rFonts w:ascii="Times New Roman" w:hAnsi="Times New Roman" w:cs="Times New Roman"/>
          <w:sz w:val="28"/>
          <w:szCs w:val="28"/>
        </w:rPr>
        <w:t xml:space="preserve"> округа </w:t>
      </w:r>
      <w:r w:rsidRPr="00EC20F8">
        <w:rPr>
          <w:rFonts w:ascii="Times New Roman" w:hAnsi="Times New Roman" w:cs="Times New Roman"/>
          <w:sz w:val="28"/>
          <w:szCs w:val="28"/>
        </w:rPr>
        <w:t>в 2015-2017 годах сохранятся положительные</w:t>
      </w:r>
      <w:r w:rsidRPr="00EC20F8">
        <w:rPr>
          <w:rFonts w:ascii="Times New Roman" w:hAnsi="Times New Roman" w:cs="Times New Roman"/>
          <w:bCs/>
          <w:sz w:val="28"/>
          <w:szCs w:val="28"/>
        </w:rPr>
        <w:t xml:space="preserve"> </w:t>
      </w:r>
      <w:r w:rsidRPr="00EC20F8">
        <w:rPr>
          <w:rFonts w:ascii="Times New Roman" w:hAnsi="Times New Roman" w:cs="Times New Roman"/>
          <w:sz w:val="28"/>
          <w:szCs w:val="28"/>
        </w:rPr>
        <w:t>тенденции последних лет. В прогнозном периоде ожидается, что  рождаемость будет превышать показатели смертности, сохранится естественный прирост населения (рисунок 6.</w:t>
      </w:r>
      <w:r w:rsidR="00C07602" w:rsidRPr="00EC20F8">
        <w:rPr>
          <w:rFonts w:ascii="Times New Roman" w:hAnsi="Times New Roman" w:cs="Times New Roman"/>
          <w:sz w:val="28"/>
          <w:szCs w:val="28"/>
        </w:rPr>
        <w:t>3</w:t>
      </w:r>
      <w:r w:rsidRPr="00EC20F8">
        <w:rPr>
          <w:rFonts w:ascii="Times New Roman" w:hAnsi="Times New Roman" w:cs="Times New Roman"/>
          <w:sz w:val="28"/>
          <w:szCs w:val="28"/>
        </w:rPr>
        <w:t xml:space="preserve">.). </w:t>
      </w:r>
    </w:p>
    <w:p w:rsidR="006630F9" w:rsidRPr="00EC20F8" w:rsidRDefault="006630F9" w:rsidP="006630F9">
      <w:pPr>
        <w:widowControl w:val="0"/>
        <w:autoSpaceDE w:val="0"/>
        <w:autoSpaceDN w:val="0"/>
        <w:adjustRightInd w:val="0"/>
        <w:spacing w:line="240" w:lineRule="auto"/>
        <w:ind w:firstLine="709"/>
        <w:jc w:val="both"/>
        <w:rPr>
          <w:rFonts w:ascii="Times New Roman" w:hAnsi="Times New Roman" w:cs="Times New Roman"/>
          <w:sz w:val="28"/>
          <w:szCs w:val="28"/>
        </w:rPr>
      </w:pPr>
      <w:r w:rsidRPr="00EC20F8">
        <w:rPr>
          <w:rFonts w:ascii="Times New Roman" w:hAnsi="Times New Roman" w:cs="Times New Roman"/>
          <w:noProof/>
          <w:sz w:val="28"/>
          <w:szCs w:val="28"/>
          <w:bdr w:val="single" w:sz="4" w:space="0" w:color="auto"/>
          <w:lang w:eastAsia="ru-RU"/>
        </w:rPr>
        <w:drawing>
          <wp:inline distT="0" distB="0" distL="0" distR="0">
            <wp:extent cx="5248275" cy="2562225"/>
            <wp:effectExtent l="0" t="0" r="0" b="0"/>
            <wp:docPr id="2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AE693C" w:rsidRPr="00EC20F8" w:rsidRDefault="00AE693C" w:rsidP="006630F9">
      <w:pPr>
        <w:spacing w:line="240" w:lineRule="auto"/>
        <w:jc w:val="center"/>
        <w:rPr>
          <w:rFonts w:ascii="Times New Roman" w:hAnsi="Times New Roman" w:cs="Times New Roman"/>
          <w:i/>
          <w:iCs/>
          <w:spacing w:val="2"/>
          <w:sz w:val="12"/>
          <w:szCs w:val="12"/>
        </w:rPr>
      </w:pPr>
    </w:p>
    <w:p w:rsidR="006630F9" w:rsidRPr="00EC20F8" w:rsidRDefault="006630F9" w:rsidP="006630F9">
      <w:pPr>
        <w:spacing w:line="240" w:lineRule="auto"/>
        <w:jc w:val="center"/>
        <w:rPr>
          <w:rFonts w:ascii="Times New Roman" w:hAnsi="Times New Roman" w:cs="Times New Roman"/>
          <w:i/>
          <w:iCs/>
          <w:spacing w:val="2"/>
          <w:sz w:val="24"/>
          <w:szCs w:val="24"/>
        </w:rPr>
      </w:pPr>
      <w:r w:rsidRPr="00EC20F8">
        <w:rPr>
          <w:rFonts w:ascii="Times New Roman" w:hAnsi="Times New Roman" w:cs="Times New Roman"/>
          <w:i/>
          <w:iCs/>
          <w:spacing w:val="2"/>
          <w:sz w:val="24"/>
          <w:szCs w:val="24"/>
        </w:rPr>
        <w:t>Рис.6.</w:t>
      </w:r>
      <w:r w:rsidR="00C07602" w:rsidRPr="00EC20F8">
        <w:rPr>
          <w:rFonts w:ascii="Times New Roman" w:hAnsi="Times New Roman" w:cs="Times New Roman"/>
          <w:i/>
          <w:iCs/>
          <w:spacing w:val="2"/>
          <w:sz w:val="24"/>
          <w:szCs w:val="24"/>
        </w:rPr>
        <w:t>3</w:t>
      </w:r>
      <w:r w:rsidRPr="00EC20F8">
        <w:rPr>
          <w:rFonts w:ascii="Times New Roman" w:hAnsi="Times New Roman" w:cs="Times New Roman"/>
          <w:i/>
          <w:iCs/>
          <w:spacing w:val="2"/>
          <w:sz w:val="24"/>
          <w:szCs w:val="24"/>
        </w:rPr>
        <w:t xml:space="preserve">.  Прогноз смертности и рождаемости в </w:t>
      </w:r>
      <w:proofErr w:type="gramStart"/>
      <w:r w:rsidRPr="00EC20F8">
        <w:rPr>
          <w:rFonts w:ascii="Times New Roman" w:hAnsi="Times New Roman" w:cs="Times New Roman"/>
          <w:i/>
          <w:iCs/>
          <w:spacing w:val="2"/>
          <w:sz w:val="24"/>
          <w:szCs w:val="24"/>
        </w:rPr>
        <w:t>Петропавловск-Камчатском</w:t>
      </w:r>
      <w:proofErr w:type="gramEnd"/>
      <w:r w:rsidRPr="00EC20F8">
        <w:rPr>
          <w:rFonts w:ascii="Times New Roman" w:hAnsi="Times New Roman" w:cs="Times New Roman"/>
          <w:i/>
          <w:iCs/>
          <w:spacing w:val="2"/>
          <w:sz w:val="24"/>
          <w:szCs w:val="24"/>
        </w:rPr>
        <w:t xml:space="preserve">  городском округе, человек </w:t>
      </w:r>
    </w:p>
    <w:p w:rsidR="006630F9" w:rsidRPr="00EC20F8" w:rsidRDefault="006630F9" w:rsidP="006630F9">
      <w:pPr>
        <w:autoSpaceDE w:val="0"/>
        <w:autoSpaceDN w:val="0"/>
        <w:adjustRightInd w:val="0"/>
        <w:spacing w:line="240" w:lineRule="auto"/>
        <w:ind w:firstLine="709"/>
        <w:jc w:val="both"/>
        <w:rPr>
          <w:rFonts w:ascii="Times New Roman" w:hAnsi="Times New Roman" w:cs="Times New Roman"/>
          <w:sz w:val="16"/>
          <w:szCs w:val="16"/>
        </w:rPr>
      </w:pPr>
    </w:p>
    <w:p w:rsidR="006630F9" w:rsidRPr="00EC20F8" w:rsidRDefault="006630F9" w:rsidP="006630F9">
      <w:pPr>
        <w:pStyle w:val="ConsPlusNormal"/>
        <w:widowControl/>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На демографическую ситуацию </w:t>
      </w:r>
      <w:r w:rsidR="00C07602" w:rsidRPr="00EC20F8">
        <w:rPr>
          <w:rFonts w:ascii="Times New Roman" w:hAnsi="Times New Roman" w:cs="Times New Roman"/>
          <w:sz w:val="28"/>
          <w:szCs w:val="28"/>
        </w:rPr>
        <w:t xml:space="preserve">будет </w:t>
      </w:r>
      <w:r w:rsidRPr="00EC20F8">
        <w:rPr>
          <w:rFonts w:ascii="Times New Roman" w:hAnsi="Times New Roman" w:cs="Times New Roman"/>
          <w:sz w:val="28"/>
          <w:szCs w:val="28"/>
        </w:rPr>
        <w:t>ока</w:t>
      </w:r>
      <w:r w:rsidR="00C07602" w:rsidRPr="00EC20F8">
        <w:rPr>
          <w:rFonts w:ascii="Times New Roman" w:hAnsi="Times New Roman" w:cs="Times New Roman"/>
          <w:sz w:val="28"/>
          <w:szCs w:val="28"/>
        </w:rPr>
        <w:t>зывать</w:t>
      </w:r>
      <w:r w:rsidRPr="00EC20F8">
        <w:rPr>
          <w:rFonts w:ascii="Times New Roman" w:hAnsi="Times New Roman" w:cs="Times New Roman"/>
          <w:sz w:val="28"/>
          <w:szCs w:val="28"/>
        </w:rPr>
        <w:t xml:space="preserve"> положительное влияние реализация программ по стимулированию рождаемости и государственная поддержка семей с детьми; реализация приоритетного национального проекта «Здоровье»; выполнение мероприятий плана по реализации Концепции демографической политики Российской Федерации на период до 2025 года; реализация положений Указа Президента Российской Федерации от 7 мая 2012 г. № 606 «О мерах по реализации демографической политики Российской Федерации».</w:t>
      </w:r>
      <w:proofErr w:type="gramEnd"/>
    </w:p>
    <w:p w:rsidR="006630F9" w:rsidRPr="00EC20F8" w:rsidRDefault="006630F9" w:rsidP="00705BDF">
      <w:pPr>
        <w:pStyle w:val="af8"/>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Рост рождаемости в прогнозный период также будет поддерживаться последовательной реализацией следующих мер, принятых Правительством Камчатского края: предоставление на безвозмездной основе многодетным семьям земельных участков под строительство жилого дома и их обеспечение инженерной инфраструктурой; </w:t>
      </w:r>
      <w:proofErr w:type="gramStart"/>
      <w:r w:rsidRPr="00EC20F8">
        <w:rPr>
          <w:rFonts w:ascii="Times New Roman" w:hAnsi="Times New Roman" w:cs="Times New Roman"/>
          <w:sz w:val="28"/>
          <w:szCs w:val="28"/>
        </w:rPr>
        <w:t>создание условий для повышения доступности жилья для отдельных категорий граждан (в том числе молодым семьям, работникам бюджетной сферы, многодетным семьям с 3 и более детьми в рамках реализации Государственной подп</w:t>
      </w:r>
      <w:r w:rsidRPr="00EC20F8">
        <w:rPr>
          <w:rFonts w:ascii="Times New Roman" w:hAnsi="Times New Roman" w:cs="Times New Roman"/>
          <w:sz w:val="28"/>
          <w:szCs w:val="28"/>
          <w:shd w:val="clear" w:color="auto" w:fill="FFFFFF"/>
        </w:rPr>
        <w:t xml:space="preserve">рограммы № 7 Камчатского края </w:t>
      </w:r>
      <w:r w:rsidRPr="00EC20F8">
        <w:rPr>
          <w:rFonts w:ascii="Times New Roman" w:hAnsi="Times New Roman" w:cs="Times New Roman"/>
          <w:sz w:val="28"/>
          <w:szCs w:val="28"/>
        </w:rPr>
        <w:t xml:space="preserve">«Развитие системы ипотечного жилищного кредитования в </w:t>
      </w:r>
      <w:r w:rsidRPr="00EC20F8">
        <w:rPr>
          <w:rFonts w:ascii="Times New Roman" w:hAnsi="Times New Roman" w:cs="Times New Roman"/>
          <w:sz w:val="28"/>
          <w:szCs w:val="28"/>
          <w:shd w:val="clear" w:color="auto" w:fill="FFFFFF"/>
        </w:rPr>
        <w:t>Камчатском крае</w:t>
      </w:r>
      <w:r w:rsidRPr="00EC20F8">
        <w:rPr>
          <w:rFonts w:ascii="Times New Roman" w:hAnsi="Times New Roman" w:cs="Times New Roman"/>
          <w:sz w:val="28"/>
          <w:szCs w:val="28"/>
        </w:rPr>
        <w:t xml:space="preserve">» Государственной программы Камчатского края «Обеспечение доступным и комфортным жильем жителей </w:t>
      </w:r>
      <w:r w:rsidRPr="00EC20F8">
        <w:rPr>
          <w:rFonts w:ascii="Times New Roman" w:hAnsi="Times New Roman" w:cs="Times New Roman"/>
          <w:sz w:val="28"/>
          <w:szCs w:val="28"/>
          <w:shd w:val="clear" w:color="auto" w:fill="FFFFFF"/>
        </w:rPr>
        <w:t>Камчатского края на 2014-2018 годы</w:t>
      </w:r>
      <w:r w:rsidRPr="00EC20F8">
        <w:rPr>
          <w:rFonts w:ascii="Times New Roman" w:hAnsi="Times New Roman" w:cs="Times New Roman"/>
          <w:sz w:val="28"/>
          <w:szCs w:val="28"/>
        </w:rPr>
        <w:t>»</w:t>
      </w:r>
      <w:r w:rsidRPr="00EC20F8">
        <w:rPr>
          <w:rFonts w:ascii="Times New Roman" w:hAnsi="Times New Roman" w:cs="Times New Roman"/>
          <w:sz w:val="28"/>
          <w:szCs w:val="28"/>
          <w:shd w:val="clear" w:color="auto" w:fill="FFFFFF"/>
        </w:rPr>
        <w:t xml:space="preserve">, утвержденной постановлением Правительства </w:t>
      </w:r>
      <w:r w:rsidR="00DE2F76" w:rsidRPr="00EC20F8">
        <w:rPr>
          <w:rFonts w:ascii="Times New Roman" w:hAnsi="Times New Roman" w:cs="Times New Roman"/>
          <w:sz w:val="28"/>
          <w:szCs w:val="28"/>
          <w:shd w:val="clear" w:color="auto" w:fill="FFFFFF"/>
        </w:rPr>
        <w:t>Камчатского</w:t>
      </w:r>
      <w:proofErr w:type="gramEnd"/>
      <w:r w:rsidR="00DE2F76" w:rsidRPr="00EC20F8">
        <w:rPr>
          <w:rFonts w:ascii="Times New Roman" w:hAnsi="Times New Roman" w:cs="Times New Roman"/>
          <w:sz w:val="28"/>
          <w:szCs w:val="28"/>
          <w:shd w:val="clear" w:color="auto" w:fill="FFFFFF"/>
        </w:rPr>
        <w:t xml:space="preserve"> края от 22.11.2013 </w:t>
      </w:r>
      <w:r w:rsidRPr="00EC20F8">
        <w:rPr>
          <w:rFonts w:ascii="Times New Roman" w:hAnsi="Times New Roman" w:cs="Times New Roman"/>
          <w:sz w:val="28"/>
          <w:szCs w:val="28"/>
          <w:shd w:val="clear" w:color="auto" w:fill="FFFFFF"/>
        </w:rPr>
        <w:t>№ 520-П</w:t>
      </w:r>
      <w:r w:rsidRPr="00EC20F8">
        <w:rPr>
          <w:rFonts w:ascii="Times New Roman" w:hAnsi="Times New Roman" w:cs="Times New Roman"/>
          <w:sz w:val="28"/>
          <w:szCs w:val="28"/>
        </w:rPr>
        <w:t xml:space="preserve">; реализацией </w:t>
      </w:r>
      <w:r w:rsidR="00C07602" w:rsidRPr="00EC20F8">
        <w:rPr>
          <w:rFonts w:ascii="Times New Roman" w:hAnsi="Times New Roman" w:cs="Times New Roman"/>
          <w:sz w:val="28"/>
          <w:szCs w:val="28"/>
        </w:rPr>
        <w:t xml:space="preserve">муниципальной программы «Обеспечение доступным и комфортным жильем жителей </w:t>
      </w:r>
      <w:proofErr w:type="gramStart"/>
      <w:r w:rsidR="00C07602" w:rsidRPr="00EC20F8">
        <w:rPr>
          <w:rFonts w:ascii="Times New Roman" w:hAnsi="Times New Roman" w:cs="Times New Roman"/>
          <w:sz w:val="28"/>
          <w:szCs w:val="28"/>
        </w:rPr>
        <w:t>Петропавловск-Камчатского</w:t>
      </w:r>
      <w:proofErr w:type="gramEnd"/>
      <w:r w:rsidR="00C07602" w:rsidRPr="00EC20F8">
        <w:rPr>
          <w:rFonts w:ascii="Times New Roman" w:hAnsi="Times New Roman" w:cs="Times New Roman"/>
          <w:sz w:val="28"/>
          <w:szCs w:val="28"/>
        </w:rPr>
        <w:t xml:space="preserve"> городского округа на 2014-201</w:t>
      </w:r>
      <w:r w:rsidR="007A3A38" w:rsidRPr="00EC20F8">
        <w:rPr>
          <w:rFonts w:ascii="Times New Roman" w:hAnsi="Times New Roman" w:cs="Times New Roman"/>
          <w:sz w:val="28"/>
          <w:szCs w:val="28"/>
        </w:rPr>
        <w:t>7</w:t>
      </w:r>
      <w:r w:rsidR="00C07602" w:rsidRPr="00EC20F8">
        <w:rPr>
          <w:rFonts w:ascii="Times New Roman" w:hAnsi="Times New Roman" w:cs="Times New Roman"/>
          <w:sz w:val="28"/>
          <w:szCs w:val="28"/>
        </w:rPr>
        <w:t xml:space="preserve"> годы</w:t>
      </w:r>
      <w:r w:rsidR="00705BDF" w:rsidRPr="00EC20F8">
        <w:rPr>
          <w:rFonts w:ascii="Times New Roman" w:hAnsi="Times New Roman" w:cs="Times New Roman"/>
          <w:sz w:val="28"/>
          <w:szCs w:val="28"/>
        </w:rPr>
        <w:t>».</w:t>
      </w:r>
    </w:p>
    <w:p w:rsidR="006630F9" w:rsidRPr="00EC20F8" w:rsidRDefault="006630F9" w:rsidP="006630F9">
      <w:pPr>
        <w:pStyle w:val="ConsPlusNormal"/>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Кроме того, положительно на демографию будут влиять меры по сокращению уровня материнской и младенческой смертности, улучшению работы службы родовспоможения, развитию перинатальной диагностики.</w:t>
      </w:r>
    </w:p>
    <w:p w:rsidR="00CA7974" w:rsidRPr="00EC20F8" w:rsidRDefault="006630F9" w:rsidP="00CA7974">
      <w:pPr>
        <w:ind w:firstLine="709"/>
        <w:jc w:val="both"/>
        <w:outlineLvl w:val="3"/>
        <w:rPr>
          <w:rFonts w:ascii="Times New Roman" w:hAnsi="Times New Roman" w:cs="Times New Roman"/>
          <w:sz w:val="28"/>
          <w:szCs w:val="28"/>
        </w:rPr>
      </w:pPr>
      <w:r w:rsidRPr="00EC20F8">
        <w:rPr>
          <w:rFonts w:ascii="Times New Roman" w:hAnsi="Times New Roman" w:cs="Times New Roman"/>
          <w:b/>
          <w:i/>
          <w:sz w:val="28"/>
          <w:szCs w:val="28"/>
        </w:rPr>
        <w:t xml:space="preserve">По </w:t>
      </w:r>
      <w:r w:rsidR="007A3A38" w:rsidRPr="00EC20F8">
        <w:rPr>
          <w:rFonts w:ascii="Times New Roman" w:hAnsi="Times New Roman" w:cs="Times New Roman"/>
          <w:b/>
          <w:i/>
          <w:sz w:val="28"/>
          <w:szCs w:val="28"/>
        </w:rPr>
        <w:t>первому</w:t>
      </w:r>
      <w:r w:rsidRPr="00EC20F8">
        <w:rPr>
          <w:rFonts w:ascii="Times New Roman" w:hAnsi="Times New Roman" w:cs="Times New Roman"/>
          <w:b/>
          <w:i/>
          <w:sz w:val="28"/>
          <w:szCs w:val="28"/>
        </w:rPr>
        <w:t xml:space="preserve"> варианту</w:t>
      </w:r>
      <w:r w:rsidR="00DE2F76" w:rsidRPr="00EC20F8">
        <w:rPr>
          <w:rFonts w:ascii="Times New Roman" w:hAnsi="Times New Roman" w:cs="Times New Roman"/>
          <w:sz w:val="28"/>
          <w:szCs w:val="28"/>
        </w:rPr>
        <w:t xml:space="preserve"> </w:t>
      </w:r>
      <w:r w:rsidRPr="00EC20F8">
        <w:rPr>
          <w:rFonts w:ascii="Times New Roman" w:hAnsi="Times New Roman" w:cs="Times New Roman"/>
          <w:sz w:val="28"/>
          <w:szCs w:val="28"/>
        </w:rPr>
        <w:t xml:space="preserve">демографического прогноза предполагается увеличение численности населения </w:t>
      </w:r>
      <w:proofErr w:type="gramStart"/>
      <w:r w:rsidRPr="00EC20F8">
        <w:rPr>
          <w:rFonts w:ascii="Times New Roman" w:hAnsi="Times New Roman" w:cs="Times New Roman"/>
          <w:sz w:val="28"/>
          <w:szCs w:val="28"/>
        </w:rPr>
        <w:t>Петропавловс</w:t>
      </w:r>
      <w:r w:rsidR="007F7269" w:rsidRPr="00EC20F8">
        <w:rPr>
          <w:rFonts w:ascii="Times New Roman" w:hAnsi="Times New Roman" w:cs="Times New Roman"/>
          <w:sz w:val="28"/>
          <w:szCs w:val="28"/>
        </w:rPr>
        <w:t>к</w:t>
      </w:r>
      <w:r w:rsidRPr="00EC20F8">
        <w:rPr>
          <w:rFonts w:ascii="Times New Roman" w:hAnsi="Times New Roman" w:cs="Times New Roman"/>
          <w:sz w:val="28"/>
          <w:szCs w:val="28"/>
        </w:rPr>
        <w:t>-Камчатского</w:t>
      </w:r>
      <w:proofErr w:type="gramEnd"/>
      <w:r w:rsidRPr="00EC20F8">
        <w:rPr>
          <w:rFonts w:ascii="Times New Roman" w:hAnsi="Times New Roman" w:cs="Times New Roman"/>
          <w:sz w:val="28"/>
          <w:szCs w:val="28"/>
        </w:rPr>
        <w:t xml:space="preserve"> городского округа. В результате исполнения сценарных условий </w:t>
      </w:r>
      <w:r w:rsidR="00CA7974" w:rsidRPr="00EC20F8">
        <w:rPr>
          <w:rFonts w:ascii="Times New Roman" w:hAnsi="Times New Roman" w:cs="Times New Roman"/>
          <w:sz w:val="28"/>
          <w:szCs w:val="28"/>
        </w:rPr>
        <w:t>первого</w:t>
      </w:r>
      <w:r w:rsidRPr="00EC20F8">
        <w:rPr>
          <w:rFonts w:ascii="Times New Roman" w:hAnsi="Times New Roman" w:cs="Times New Roman"/>
          <w:sz w:val="28"/>
          <w:szCs w:val="28"/>
        </w:rPr>
        <w:t xml:space="preserve"> варианта среднегодовая численность населения городского округа в 2017 году составит 183,</w:t>
      </w:r>
      <w:r w:rsidR="00705BDF" w:rsidRPr="00EC20F8">
        <w:rPr>
          <w:rFonts w:ascii="Times New Roman" w:hAnsi="Times New Roman" w:cs="Times New Roman"/>
          <w:sz w:val="28"/>
          <w:szCs w:val="28"/>
        </w:rPr>
        <w:t>79</w:t>
      </w:r>
      <w:r w:rsidRPr="00EC20F8">
        <w:rPr>
          <w:rFonts w:ascii="Times New Roman" w:hAnsi="Times New Roman" w:cs="Times New Roman"/>
          <w:sz w:val="28"/>
          <w:szCs w:val="28"/>
        </w:rPr>
        <w:t xml:space="preserve"> тыс. человек.</w:t>
      </w:r>
      <w:r w:rsidR="00CA7974" w:rsidRPr="00EC20F8">
        <w:rPr>
          <w:rFonts w:ascii="Times New Roman" w:hAnsi="Times New Roman" w:cs="Times New Roman"/>
          <w:sz w:val="28"/>
          <w:szCs w:val="28"/>
        </w:rPr>
        <w:t xml:space="preserve"> </w:t>
      </w:r>
      <w:r w:rsidRPr="00EC20F8">
        <w:rPr>
          <w:rFonts w:ascii="Times New Roman" w:hAnsi="Times New Roman" w:cs="Times New Roman"/>
          <w:sz w:val="28"/>
          <w:szCs w:val="28"/>
        </w:rPr>
        <w:t xml:space="preserve">В результате принимаемых мер по реализации мероприятий </w:t>
      </w:r>
      <w:proofErr w:type="spellStart"/>
      <w:r w:rsidRPr="00EC20F8">
        <w:rPr>
          <w:rFonts w:ascii="Times New Roman" w:hAnsi="Times New Roman" w:cs="Times New Roman"/>
          <w:sz w:val="28"/>
          <w:szCs w:val="28"/>
        </w:rPr>
        <w:t>народосбережения</w:t>
      </w:r>
      <w:proofErr w:type="spellEnd"/>
      <w:r w:rsidRPr="00EC20F8">
        <w:rPr>
          <w:rFonts w:ascii="Times New Roman" w:hAnsi="Times New Roman" w:cs="Times New Roman"/>
          <w:sz w:val="28"/>
          <w:szCs w:val="28"/>
        </w:rPr>
        <w:t xml:space="preserve"> и общего повышения уровня жизни населения, прогнозируется увеличение уровня рождаемости в 2017 году до 13,89 промилле. Уровень смертности снизится до 10,52 промилле. Прогнозируется увеличение миграционного прироста населения в 2017 году на уровне </w:t>
      </w:r>
      <w:r w:rsidR="00705BDF" w:rsidRPr="00EC20F8">
        <w:rPr>
          <w:rFonts w:ascii="Times New Roman" w:hAnsi="Times New Roman" w:cs="Times New Roman"/>
          <w:sz w:val="28"/>
          <w:szCs w:val="28"/>
        </w:rPr>
        <w:t xml:space="preserve">1,65 </w:t>
      </w:r>
      <w:r w:rsidRPr="00EC20F8">
        <w:rPr>
          <w:rFonts w:ascii="Times New Roman" w:hAnsi="Times New Roman" w:cs="Times New Roman"/>
          <w:sz w:val="28"/>
          <w:szCs w:val="28"/>
        </w:rPr>
        <w:t>промилле на 10 000 человек населения (рисунок 6.</w:t>
      </w:r>
      <w:r w:rsidR="00705BDF" w:rsidRPr="00EC20F8">
        <w:rPr>
          <w:rFonts w:ascii="Times New Roman" w:hAnsi="Times New Roman" w:cs="Times New Roman"/>
          <w:sz w:val="28"/>
          <w:szCs w:val="28"/>
        </w:rPr>
        <w:t>4</w:t>
      </w:r>
      <w:r w:rsidRPr="00EC20F8">
        <w:rPr>
          <w:rFonts w:ascii="Times New Roman" w:hAnsi="Times New Roman" w:cs="Times New Roman"/>
          <w:sz w:val="28"/>
          <w:szCs w:val="28"/>
        </w:rPr>
        <w:t>.):</w:t>
      </w:r>
    </w:p>
    <w:p w:rsidR="006630F9" w:rsidRPr="00EC20F8" w:rsidRDefault="006630F9" w:rsidP="00CA7974">
      <w:pPr>
        <w:ind w:firstLine="709"/>
        <w:jc w:val="both"/>
        <w:outlineLvl w:val="3"/>
        <w:rPr>
          <w:rFonts w:ascii="Times New Roman" w:hAnsi="Times New Roman" w:cs="Times New Roman"/>
          <w:sz w:val="28"/>
          <w:szCs w:val="28"/>
        </w:rPr>
      </w:pPr>
      <w:r w:rsidRPr="00EC20F8">
        <w:rPr>
          <w:rFonts w:ascii="Times New Roman" w:hAnsi="Times New Roman" w:cs="Times New Roman"/>
          <w:noProof/>
          <w:sz w:val="28"/>
          <w:szCs w:val="28"/>
          <w:lang w:eastAsia="ru-RU"/>
        </w:rPr>
        <w:drawing>
          <wp:inline distT="0" distB="0" distL="0" distR="0">
            <wp:extent cx="5153025" cy="2562225"/>
            <wp:effectExtent l="19050" t="0" r="0" b="0"/>
            <wp:docPr id="23"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6630F9" w:rsidRPr="00EC20F8" w:rsidRDefault="006630F9" w:rsidP="006630F9">
      <w:pPr>
        <w:widowControl w:val="0"/>
        <w:ind w:firstLine="709"/>
        <w:jc w:val="center"/>
        <w:rPr>
          <w:rFonts w:ascii="Times New Roman" w:hAnsi="Times New Roman" w:cs="Times New Roman"/>
          <w:i/>
          <w:sz w:val="24"/>
          <w:szCs w:val="24"/>
        </w:rPr>
      </w:pPr>
      <w:r w:rsidRPr="00EC20F8">
        <w:rPr>
          <w:rFonts w:ascii="Times New Roman" w:hAnsi="Times New Roman" w:cs="Times New Roman"/>
          <w:i/>
          <w:sz w:val="24"/>
          <w:szCs w:val="24"/>
        </w:rPr>
        <w:t>Рис. 6.</w:t>
      </w:r>
      <w:r w:rsidR="00705BDF" w:rsidRPr="00EC20F8">
        <w:rPr>
          <w:rFonts w:ascii="Times New Roman" w:hAnsi="Times New Roman" w:cs="Times New Roman"/>
          <w:i/>
          <w:sz w:val="24"/>
          <w:szCs w:val="24"/>
        </w:rPr>
        <w:t>4</w:t>
      </w:r>
      <w:r w:rsidRPr="00EC20F8">
        <w:rPr>
          <w:rFonts w:ascii="Times New Roman" w:hAnsi="Times New Roman" w:cs="Times New Roman"/>
          <w:i/>
          <w:sz w:val="24"/>
          <w:szCs w:val="24"/>
        </w:rPr>
        <w:t>. Прогноз коэффициентов рождаемости и смертности на период 2015-207 годы, число рождений (смертей) на 1000 человек населения городского округа</w:t>
      </w:r>
    </w:p>
    <w:p w:rsidR="007A3A38" w:rsidRPr="00EC20F8" w:rsidRDefault="007A3A38" w:rsidP="006630F9">
      <w:pPr>
        <w:widowControl w:val="0"/>
        <w:ind w:firstLine="709"/>
        <w:jc w:val="both"/>
        <w:rPr>
          <w:rFonts w:ascii="Times New Roman" w:hAnsi="Times New Roman" w:cs="Times New Roman"/>
          <w:sz w:val="12"/>
          <w:szCs w:val="12"/>
        </w:rPr>
      </w:pPr>
    </w:p>
    <w:p w:rsidR="006630F9" w:rsidRPr="00EC20F8" w:rsidRDefault="006630F9" w:rsidP="006630F9">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П</w:t>
      </w:r>
      <w:r w:rsidR="00DA38BE" w:rsidRPr="00EC20F8">
        <w:rPr>
          <w:rFonts w:ascii="Times New Roman" w:hAnsi="Times New Roman" w:cs="Times New Roman"/>
          <w:sz w:val="28"/>
          <w:szCs w:val="28"/>
        </w:rPr>
        <w:t xml:space="preserve">редполагаемые темпы увеличения </w:t>
      </w:r>
      <w:r w:rsidRPr="00EC20F8">
        <w:rPr>
          <w:rFonts w:ascii="Times New Roman" w:hAnsi="Times New Roman" w:cs="Times New Roman"/>
          <w:sz w:val="28"/>
          <w:szCs w:val="28"/>
        </w:rPr>
        <w:t>численности постоянного населения (2017 год к 2013 году) составят 0,77 %.</w:t>
      </w:r>
    </w:p>
    <w:p w:rsidR="006630F9" w:rsidRPr="00EC20F8" w:rsidRDefault="006630F9" w:rsidP="006630F9">
      <w:pPr>
        <w:widowControl w:val="0"/>
        <w:ind w:firstLine="709"/>
        <w:jc w:val="both"/>
      </w:pPr>
      <w:proofErr w:type="gramStart"/>
      <w:r w:rsidRPr="00EC20F8">
        <w:rPr>
          <w:rFonts w:ascii="Times New Roman" w:hAnsi="Times New Roman" w:cs="Times New Roman"/>
          <w:sz w:val="28"/>
          <w:szCs w:val="28"/>
        </w:rPr>
        <w:t>Согласно</w:t>
      </w:r>
      <w:proofErr w:type="gramEnd"/>
      <w:r w:rsidRPr="00EC20F8">
        <w:rPr>
          <w:rFonts w:ascii="Times New Roman" w:hAnsi="Times New Roman" w:cs="Times New Roman"/>
          <w:sz w:val="28"/>
          <w:szCs w:val="28"/>
        </w:rPr>
        <w:t xml:space="preserve"> </w:t>
      </w:r>
      <w:r w:rsidR="007A3A38" w:rsidRPr="00EC20F8">
        <w:rPr>
          <w:rFonts w:ascii="Times New Roman" w:hAnsi="Times New Roman" w:cs="Times New Roman"/>
          <w:sz w:val="28"/>
          <w:szCs w:val="28"/>
        </w:rPr>
        <w:t>первого</w:t>
      </w:r>
      <w:r w:rsidRPr="00EC20F8">
        <w:rPr>
          <w:rFonts w:ascii="Times New Roman" w:hAnsi="Times New Roman" w:cs="Times New Roman"/>
          <w:sz w:val="28"/>
          <w:szCs w:val="28"/>
        </w:rPr>
        <w:t xml:space="preserve"> вариант</w:t>
      </w:r>
      <w:r w:rsidR="007A3A38" w:rsidRPr="00EC20F8">
        <w:rPr>
          <w:rFonts w:ascii="Times New Roman" w:hAnsi="Times New Roman" w:cs="Times New Roman"/>
          <w:sz w:val="28"/>
          <w:szCs w:val="28"/>
        </w:rPr>
        <w:t>а</w:t>
      </w:r>
      <w:r w:rsidRPr="00EC20F8">
        <w:rPr>
          <w:rFonts w:ascii="Times New Roman" w:hAnsi="Times New Roman" w:cs="Times New Roman"/>
          <w:sz w:val="28"/>
          <w:szCs w:val="28"/>
        </w:rPr>
        <w:t xml:space="preserve"> прогноза</w:t>
      </w:r>
      <w:r w:rsidR="007A3A38" w:rsidRPr="00EC20F8">
        <w:rPr>
          <w:rFonts w:ascii="Times New Roman" w:hAnsi="Times New Roman" w:cs="Times New Roman"/>
          <w:sz w:val="28"/>
          <w:szCs w:val="28"/>
        </w:rPr>
        <w:t>,</w:t>
      </w:r>
      <w:r w:rsidRPr="00EC20F8">
        <w:rPr>
          <w:rFonts w:ascii="Times New Roman" w:hAnsi="Times New Roman" w:cs="Times New Roman"/>
          <w:sz w:val="28"/>
          <w:szCs w:val="28"/>
        </w:rPr>
        <w:t xml:space="preserve"> демографические процессы характеризуются стабильным естественным приростом населения и сокращением миграционного оттока трудоспособного населения городского округа. Данный вариант прогноза рассматривается в условиях замедления темпов социально-экономического развития, уровня и качества жизни населения. Все эти факторы предполагают воздействие на естественное движение населения в виде отложенного деторождения, снижения суммарного коэффициента рождаемости.</w:t>
      </w:r>
    </w:p>
    <w:p w:rsidR="006630F9" w:rsidRPr="00EC20F8" w:rsidRDefault="006630F9" w:rsidP="006630F9">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В результате </w:t>
      </w:r>
      <w:proofErr w:type="gramStart"/>
      <w:r w:rsidRPr="00EC20F8">
        <w:rPr>
          <w:rFonts w:ascii="Times New Roman" w:hAnsi="Times New Roman" w:cs="Times New Roman"/>
          <w:sz w:val="28"/>
          <w:szCs w:val="28"/>
        </w:rPr>
        <w:t xml:space="preserve">исполнения сценарных условий </w:t>
      </w:r>
      <w:r w:rsidRPr="00EC20F8">
        <w:rPr>
          <w:rFonts w:ascii="Times New Roman" w:hAnsi="Times New Roman" w:cs="Times New Roman"/>
          <w:b/>
          <w:i/>
          <w:sz w:val="28"/>
          <w:szCs w:val="28"/>
        </w:rPr>
        <w:t>второго варианта</w:t>
      </w:r>
      <w:r w:rsidRPr="00EC20F8">
        <w:rPr>
          <w:rFonts w:ascii="Times New Roman" w:hAnsi="Times New Roman" w:cs="Times New Roman"/>
          <w:sz w:val="28"/>
          <w:szCs w:val="28"/>
        </w:rPr>
        <w:t xml:space="preserve"> демографического прогноза</w:t>
      </w:r>
      <w:proofErr w:type="gramEnd"/>
      <w:r w:rsidRPr="00EC20F8">
        <w:rPr>
          <w:rFonts w:ascii="Times New Roman" w:hAnsi="Times New Roman" w:cs="Times New Roman"/>
          <w:sz w:val="28"/>
          <w:szCs w:val="28"/>
        </w:rPr>
        <w:t xml:space="preserve"> среднегодовая численность населения городского округа в 2017 году составит 184,1 тыс. человек. </w:t>
      </w:r>
    </w:p>
    <w:p w:rsidR="006630F9" w:rsidRPr="00EC20F8" w:rsidRDefault="006630F9" w:rsidP="006630F9">
      <w:pPr>
        <w:widowControl w:val="0"/>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Наиболее острые проблемы демографической ситуации: значительный миграционный отток населения, в том числе за счет снижения квот на привлечение иностранной рабочей силы в Камчатский край, что является основной причиной снижения темпов роста численности населения городского округа, низкий уровень рождаемости, высокая смертность мужчин трудоспособного возраста, длительная стабилизация показателей смертности и средней продолжительности жизни на уровне, не соответствующем основным социальным задачам общества, увеличение</w:t>
      </w:r>
      <w:proofErr w:type="gramEnd"/>
      <w:r w:rsidRPr="00EC20F8">
        <w:rPr>
          <w:rFonts w:ascii="Times New Roman" w:hAnsi="Times New Roman" w:cs="Times New Roman"/>
          <w:sz w:val="28"/>
          <w:szCs w:val="28"/>
        </w:rPr>
        <w:t xml:space="preserve"> доли лиц старше трудоспособного возраста.</w:t>
      </w:r>
    </w:p>
    <w:p w:rsidR="006630F9" w:rsidRPr="00EC20F8" w:rsidRDefault="006630F9" w:rsidP="006630F9"/>
    <w:p w:rsidR="00AE693C" w:rsidRPr="00EC20F8" w:rsidRDefault="00AE693C" w:rsidP="00AE693C">
      <w:pPr>
        <w:pStyle w:val="1"/>
      </w:pPr>
      <w:bookmarkStart w:id="70" w:name="_Toc368930204"/>
      <w:bookmarkStart w:id="71" w:name="_Toc368930828"/>
      <w:bookmarkStart w:id="72" w:name="_Toc368988885"/>
      <w:bookmarkStart w:id="73" w:name="_Toc400529668"/>
      <w:r w:rsidRPr="00EC20F8">
        <w:t>7. Рынок труда и занятость населения</w:t>
      </w:r>
      <w:bookmarkEnd w:id="70"/>
      <w:bookmarkEnd w:id="71"/>
      <w:bookmarkEnd w:id="72"/>
      <w:bookmarkEnd w:id="73"/>
    </w:p>
    <w:p w:rsidR="00202941" w:rsidRPr="00EC20F8" w:rsidRDefault="00202941" w:rsidP="00202941">
      <w:pPr>
        <w:spacing w:line="240" w:lineRule="auto"/>
        <w:ind w:firstLine="709"/>
        <w:jc w:val="both"/>
      </w:pPr>
    </w:p>
    <w:p w:rsidR="00202941" w:rsidRPr="00EC20F8" w:rsidRDefault="00202941" w:rsidP="00202941">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Численность экономически активного населения городского округа за 2013 год осталась на уровне 2012 года и составила </w:t>
      </w:r>
      <w:r w:rsidR="00DE2F76" w:rsidRPr="00EC20F8">
        <w:rPr>
          <w:rFonts w:ascii="Times New Roman" w:hAnsi="Times New Roman" w:cs="Times New Roman"/>
          <w:sz w:val="28"/>
          <w:szCs w:val="28"/>
        </w:rPr>
        <w:t xml:space="preserve">114,0 тысяч </w:t>
      </w:r>
      <w:r w:rsidRPr="00EC20F8">
        <w:rPr>
          <w:rFonts w:ascii="Times New Roman" w:hAnsi="Times New Roman" w:cs="Times New Roman"/>
          <w:sz w:val="28"/>
          <w:szCs w:val="28"/>
        </w:rPr>
        <w:t>человек или 62,4</w:t>
      </w:r>
      <w:r w:rsidR="00DE2F76" w:rsidRPr="00EC20F8">
        <w:rPr>
          <w:rFonts w:ascii="Times New Roman" w:hAnsi="Times New Roman" w:cs="Times New Roman"/>
          <w:sz w:val="28"/>
          <w:szCs w:val="28"/>
        </w:rPr>
        <w:t xml:space="preserve"> </w:t>
      </w:r>
      <w:r w:rsidRPr="00EC20F8">
        <w:rPr>
          <w:rFonts w:ascii="Times New Roman" w:hAnsi="Times New Roman" w:cs="Times New Roman"/>
          <w:sz w:val="28"/>
          <w:szCs w:val="28"/>
        </w:rPr>
        <w:t>% от общей численности постоянного населения.</w:t>
      </w:r>
    </w:p>
    <w:p w:rsidR="00202941" w:rsidRPr="00EC20F8" w:rsidRDefault="00202941" w:rsidP="00202941">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По сравнению с предшествующим годом численность занятых в экономике городского округа увеличилась на 0,73 тысячи человек и </w:t>
      </w:r>
      <w:r w:rsidR="00DE2F76" w:rsidRPr="00EC20F8">
        <w:rPr>
          <w:rFonts w:ascii="Times New Roman" w:hAnsi="Times New Roman" w:cs="Times New Roman"/>
          <w:sz w:val="28"/>
          <w:szCs w:val="28"/>
        </w:rPr>
        <w:t xml:space="preserve">составила </w:t>
      </w:r>
      <w:r w:rsidRPr="00EC20F8">
        <w:rPr>
          <w:rFonts w:ascii="Times New Roman" w:hAnsi="Times New Roman" w:cs="Times New Roman"/>
          <w:sz w:val="28"/>
          <w:szCs w:val="28"/>
        </w:rPr>
        <w:t xml:space="preserve">103,17 тыс. человек, это 57,8 % от общей численности постоянного населения или 92,5 % от экономически активного населения городского округа. </w:t>
      </w:r>
    </w:p>
    <w:p w:rsidR="00202941" w:rsidRPr="00EC20F8" w:rsidRDefault="00202941" w:rsidP="00202941">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Среднесписочная численность работников крупных и средних организаций за 2013 год уменьшилась на 1,772 тысяч человек и составила </w:t>
      </w:r>
      <w:r w:rsidR="00DE2F76" w:rsidRPr="00EC20F8">
        <w:rPr>
          <w:rFonts w:ascii="Times New Roman" w:hAnsi="Times New Roman" w:cs="Times New Roman"/>
          <w:sz w:val="28"/>
          <w:szCs w:val="28"/>
        </w:rPr>
        <w:t xml:space="preserve">на 01.01.2014 </w:t>
      </w:r>
      <w:r w:rsidRPr="00EC20F8">
        <w:rPr>
          <w:rFonts w:ascii="Times New Roman" w:hAnsi="Times New Roman" w:cs="Times New Roman"/>
          <w:sz w:val="28"/>
          <w:szCs w:val="28"/>
        </w:rPr>
        <w:t xml:space="preserve">56,26 тысяч человек. Кроме того, для работы в организациях, привлекалось 2,5 тыс. человек внешних совместителей и работающих по договорам гражданско-правового характера. </w:t>
      </w:r>
    </w:p>
    <w:p w:rsidR="00202941" w:rsidRPr="00EC20F8" w:rsidRDefault="00DE2F76" w:rsidP="00202941">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Снизилась </w:t>
      </w:r>
      <w:r w:rsidR="00202941" w:rsidRPr="00EC20F8">
        <w:rPr>
          <w:rFonts w:ascii="Times New Roman" w:hAnsi="Times New Roman" w:cs="Times New Roman"/>
          <w:sz w:val="28"/>
          <w:szCs w:val="28"/>
        </w:rPr>
        <w:t>численность занятых в организациях с такими видами деятельности, как гостиничный и ресторанный бизнес; транспорт и связь; добыча полезных ископаемых; обрабатывающие производства; сельское хозяйство, охота и лесное хозяйство; операции с недвижимым имуществом,</w:t>
      </w:r>
      <w:r w:rsidRPr="00EC20F8">
        <w:rPr>
          <w:rFonts w:ascii="Times New Roman" w:hAnsi="Times New Roman" w:cs="Times New Roman"/>
          <w:sz w:val="28"/>
          <w:szCs w:val="28"/>
        </w:rPr>
        <w:t xml:space="preserve"> аренда и предоставление услуг;</w:t>
      </w:r>
      <w:r w:rsidR="00202941" w:rsidRPr="00EC20F8">
        <w:rPr>
          <w:rFonts w:ascii="Times New Roman" w:hAnsi="Times New Roman" w:cs="Times New Roman"/>
          <w:sz w:val="28"/>
          <w:szCs w:val="28"/>
        </w:rPr>
        <w:t xml:space="preserve"> образование.</w:t>
      </w:r>
    </w:p>
    <w:p w:rsidR="00202941" w:rsidRPr="00EC20F8" w:rsidRDefault="00202941" w:rsidP="00202941">
      <w:pPr>
        <w:widowControl w:val="0"/>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Вместе с тем, рост численности работающих отмечен в организациях оптовой и розничной торговли, ремонт автотранспортных средств, мотоциклов, бытовых изделий и предметов личного пользования (на 17,1 %), в строительстве (на 14,4 %), на предприятиях по производству и распределению электроэнергии, газа и воды (на 2,2 %), в организациях финансовой деятельности (на 1,5 %).</w:t>
      </w:r>
      <w:proofErr w:type="gramEnd"/>
    </w:p>
    <w:p w:rsidR="00202941" w:rsidRPr="00EC20F8" w:rsidRDefault="00202941" w:rsidP="00202941">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Всего в течение 2013 года крупными и средними о</w:t>
      </w:r>
      <w:r w:rsidR="00DE2F76" w:rsidRPr="00EC20F8">
        <w:rPr>
          <w:rFonts w:ascii="Times New Roman" w:hAnsi="Times New Roman" w:cs="Times New Roman"/>
          <w:sz w:val="28"/>
          <w:szCs w:val="28"/>
        </w:rPr>
        <w:t xml:space="preserve">рганизациями городского округа </w:t>
      </w:r>
      <w:r w:rsidRPr="00EC20F8">
        <w:rPr>
          <w:rFonts w:ascii="Times New Roman" w:hAnsi="Times New Roman" w:cs="Times New Roman"/>
          <w:sz w:val="28"/>
          <w:szCs w:val="28"/>
        </w:rPr>
        <w:t>принято на работу 5 307 человек (9,4 % от среднесписочной численности), выбыло работников – 9 550 человек (10,0 %)</w:t>
      </w:r>
    </w:p>
    <w:p w:rsidR="00202941" w:rsidRPr="00EC20F8" w:rsidRDefault="00202941" w:rsidP="00202941">
      <w:pPr>
        <w:pStyle w:val="-235"/>
        <w:spacing w:after="0" w:line="240" w:lineRule="auto"/>
        <w:ind w:left="0" w:firstLine="709"/>
        <w:jc w:val="both"/>
        <w:rPr>
          <w:rFonts w:ascii="Times New Roman" w:hAnsi="Times New Roman" w:cs="Times New Roman"/>
          <w:sz w:val="28"/>
          <w:szCs w:val="28"/>
        </w:rPr>
      </w:pPr>
      <w:r w:rsidRPr="00EC20F8">
        <w:rPr>
          <w:rFonts w:ascii="Times New Roman" w:hAnsi="Times New Roman" w:cs="Times New Roman"/>
          <w:sz w:val="28"/>
          <w:szCs w:val="28"/>
        </w:rPr>
        <w:t>В течение января-декабря 2013 года в</w:t>
      </w:r>
      <w:r w:rsidRPr="00EC20F8">
        <w:t xml:space="preserve"> </w:t>
      </w:r>
      <w:r w:rsidRPr="00EC20F8">
        <w:rPr>
          <w:rFonts w:ascii="Times New Roman" w:hAnsi="Times New Roman" w:cs="Times New Roman"/>
          <w:sz w:val="28"/>
          <w:szCs w:val="28"/>
        </w:rPr>
        <w:t>краевое государственное казенное учреждение «Центр занятости населения города Петропавловска-Камчатского» (далее - Центр занятости) обратилось за содействием в трудоустройстве 3</w:t>
      </w:r>
      <w:r w:rsidR="00DE2F76" w:rsidRPr="00EC20F8">
        <w:rPr>
          <w:rFonts w:ascii="Times New Roman" w:hAnsi="Times New Roman" w:cs="Times New Roman"/>
          <w:sz w:val="28"/>
          <w:szCs w:val="28"/>
        </w:rPr>
        <w:t xml:space="preserve"> </w:t>
      </w:r>
      <w:r w:rsidRPr="00EC20F8">
        <w:rPr>
          <w:rFonts w:ascii="Times New Roman" w:hAnsi="Times New Roman" w:cs="Times New Roman"/>
          <w:sz w:val="28"/>
          <w:szCs w:val="28"/>
        </w:rPr>
        <w:t xml:space="preserve">579 человек не занятых трудовой деятельностью, что на 14,7 % меньше, чем в 2012 году. Доля трудоустроенных граждан от числа обратившихся в 2013 году составила 33,5 % (1199 человек), что ниже аналогичного показателя 2012 года на 4,9 % (1611 человек). </w:t>
      </w:r>
    </w:p>
    <w:p w:rsidR="00202941" w:rsidRPr="00EC20F8" w:rsidRDefault="00202941" w:rsidP="00202941">
      <w:pPr>
        <w:widowControl w:val="0"/>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В целях создания условий для поддержания эффективной занятости населения и формирования качественных трудовых ресурсов Центром занятости оказывались услуги по профессиональной ори</w:t>
      </w:r>
      <w:r w:rsidR="00DE2F76" w:rsidRPr="00EC20F8">
        <w:rPr>
          <w:rFonts w:ascii="Times New Roman" w:hAnsi="Times New Roman" w:cs="Times New Roman"/>
          <w:sz w:val="28"/>
          <w:szCs w:val="28"/>
        </w:rPr>
        <w:t>ентации безработных граждан.</w:t>
      </w:r>
      <w:proofErr w:type="gramEnd"/>
      <w:r w:rsidR="00DE2F76" w:rsidRPr="00EC20F8">
        <w:rPr>
          <w:rFonts w:ascii="Times New Roman" w:hAnsi="Times New Roman" w:cs="Times New Roman"/>
          <w:sz w:val="28"/>
          <w:szCs w:val="28"/>
        </w:rPr>
        <w:t xml:space="preserve"> В </w:t>
      </w:r>
      <w:r w:rsidRPr="00EC20F8">
        <w:rPr>
          <w:rFonts w:ascii="Times New Roman" w:hAnsi="Times New Roman" w:cs="Times New Roman"/>
          <w:sz w:val="28"/>
          <w:szCs w:val="28"/>
        </w:rPr>
        <w:t>2013 году услугу получили 2</w:t>
      </w:r>
      <w:r w:rsidR="00DE2F76" w:rsidRPr="00EC20F8">
        <w:rPr>
          <w:rFonts w:ascii="Times New Roman" w:hAnsi="Times New Roman" w:cs="Times New Roman"/>
          <w:sz w:val="28"/>
          <w:szCs w:val="28"/>
        </w:rPr>
        <w:t xml:space="preserve"> </w:t>
      </w:r>
      <w:r w:rsidRPr="00EC20F8">
        <w:rPr>
          <w:rFonts w:ascii="Times New Roman" w:hAnsi="Times New Roman" w:cs="Times New Roman"/>
          <w:sz w:val="28"/>
          <w:szCs w:val="28"/>
        </w:rPr>
        <w:t>582 человека (в 2012 году – 2</w:t>
      </w:r>
      <w:r w:rsidR="00DE2F76" w:rsidRPr="00EC20F8">
        <w:rPr>
          <w:rFonts w:ascii="Times New Roman" w:hAnsi="Times New Roman" w:cs="Times New Roman"/>
          <w:sz w:val="28"/>
          <w:szCs w:val="28"/>
        </w:rPr>
        <w:t xml:space="preserve"> </w:t>
      </w:r>
      <w:r w:rsidRPr="00EC20F8">
        <w:rPr>
          <w:rFonts w:ascii="Times New Roman" w:hAnsi="Times New Roman" w:cs="Times New Roman"/>
          <w:sz w:val="28"/>
          <w:szCs w:val="28"/>
        </w:rPr>
        <w:t>824 человека).</w:t>
      </w:r>
    </w:p>
    <w:p w:rsidR="00202941" w:rsidRPr="00EC20F8" w:rsidRDefault="00202941" w:rsidP="00207AE1">
      <w:pPr>
        <w:pStyle w:val="17"/>
        <w:spacing w:after="0"/>
        <w:ind w:left="0" w:firstLine="709"/>
        <w:jc w:val="both"/>
      </w:pPr>
      <w:r w:rsidRPr="00EC20F8">
        <w:t>По состоянию на 01.01.2014 численность незанятого населения, остоящего на учете в Центре занятости составила 1</w:t>
      </w:r>
      <w:r w:rsidR="00DE2F76" w:rsidRPr="00EC20F8">
        <w:t xml:space="preserve"> </w:t>
      </w:r>
      <w:r w:rsidRPr="00EC20F8">
        <w:t>167</w:t>
      </w:r>
      <w:r w:rsidR="00207AE1" w:rsidRPr="00EC20F8">
        <w:t xml:space="preserve"> человек.</w:t>
      </w:r>
      <w:r w:rsidRPr="00EC20F8">
        <w:t xml:space="preserve"> Численность фициально зарегистрированных безработных по сравнению с началом 2013 года уменьшилась на 18 % и составила 909 человек (на 01.01.2013 – 1109 человек). Уровень официально зарегистрированной безработицы на конец 2013 года составил 0,84 % (на 01.01.2013 – 0,93 %).</w:t>
      </w:r>
    </w:p>
    <w:p w:rsidR="00202941" w:rsidRPr="00EC20F8" w:rsidRDefault="00202941" w:rsidP="00207AE1">
      <w:pPr>
        <w:pStyle w:val="17"/>
        <w:spacing w:after="0"/>
        <w:ind w:left="0" w:firstLine="709"/>
        <w:jc w:val="both"/>
      </w:pPr>
      <w:r w:rsidRPr="00EC20F8">
        <w:t xml:space="preserve">В составе  зарегистрированных безработных </w:t>
      </w:r>
      <w:r w:rsidRPr="00EC20F8">
        <w:rPr>
          <w:i/>
        </w:rPr>
        <w:t>по возрасту</w:t>
      </w:r>
      <w:r w:rsidRPr="00EC20F8">
        <w:t xml:space="preserve">, по сравнению с аналогичным периодом предшествующего года, уменьшилось доля молодежи от 18 до 29 лет – на 2,6 % (доля в общем количестве зарегистрированных безработных на 01.01.2014 года - 28 %); доля граждан предпенсионного возраста осталось  на уровне 2012 года (6,0 %).  </w:t>
      </w:r>
    </w:p>
    <w:p w:rsidR="00202941" w:rsidRPr="00EC20F8" w:rsidRDefault="00202941" w:rsidP="00207AE1">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В сост</w:t>
      </w:r>
      <w:r w:rsidR="00DE2F76" w:rsidRPr="00EC20F8">
        <w:rPr>
          <w:rFonts w:ascii="Times New Roman" w:hAnsi="Times New Roman" w:cs="Times New Roman"/>
          <w:sz w:val="28"/>
          <w:szCs w:val="28"/>
        </w:rPr>
        <w:t xml:space="preserve">аве </w:t>
      </w:r>
      <w:r w:rsidRPr="00EC20F8">
        <w:rPr>
          <w:rFonts w:ascii="Times New Roman" w:hAnsi="Times New Roman" w:cs="Times New Roman"/>
          <w:sz w:val="28"/>
          <w:szCs w:val="28"/>
        </w:rPr>
        <w:t xml:space="preserve">зарегистрированных безработных </w:t>
      </w:r>
      <w:r w:rsidRPr="00EC20F8">
        <w:rPr>
          <w:rFonts w:ascii="Times New Roman" w:hAnsi="Times New Roman" w:cs="Times New Roman"/>
          <w:i/>
          <w:sz w:val="28"/>
          <w:szCs w:val="28"/>
        </w:rPr>
        <w:t>по уровню образования</w:t>
      </w:r>
      <w:r w:rsidRPr="00EC20F8">
        <w:rPr>
          <w:rFonts w:ascii="Times New Roman" w:hAnsi="Times New Roman" w:cs="Times New Roman"/>
          <w:sz w:val="28"/>
          <w:szCs w:val="28"/>
        </w:rPr>
        <w:t xml:space="preserve">: увеличилось доля безработных, имеющих </w:t>
      </w:r>
      <w:proofErr w:type="gramStart"/>
      <w:r w:rsidRPr="00EC20F8">
        <w:rPr>
          <w:rFonts w:ascii="Times New Roman" w:hAnsi="Times New Roman" w:cs="Times New Roman"/>
          <w:sz w:val="28"/>
          <w:szCs w:val="28"/>
        </w:rPr>
        <w:t>высшее профессиональное</w:t>
      </w:r>
      <w:proofErr w:type="gramEnd"/>
      <w:r w:rsidRPr="00EC20F8">
        <w:rPr>
          <w:rFonts w:ascii="Times New Roman" w:hAnsi="Times New Roman" w:cs="Times New Roman"/>
          <w:sz w:val="28"/>
          <w:szCs w:val="28"/>
        </w:rPr>
        <w:t xml:space="preserve"> образование на 2,4 % (41,3 %)</w:t>
      </w:r>
      <w:r w:rsidR="00DE2F76" w:rsidRPr="00EC20F8">
        <w:rPr>
          <w:rFonts w:ascii="Times New Roman" w:hAnsi="Times New Roman" w:cs="Times New Roman"/>
          <w:sz w:val="28"/>
          <w:szCs w:val="28"/>
        </w:rPr>
        <w:t xml:space="preserve">; </w:t>
      </w:r>
      <w:r w:rsidRPr="00EC20F8">
        <w:rPr>
          <w:rFonts w:ascii="Times New Roman" w:hAnsi="Times New Roman" w:cs="Times New Roman"/>
          <w:sz w:val="28"/>
          <w:szCs w:val="28"/>
        </w:rPr>
        <w:t>среднее (полное) общее – на 2,6 % (22,1 %). Уменьшилась доля безработных граждан,</w:t>
      </w:r>
      <w:r w:rsidR="00DE2F76" w:rsidRPr="00EC20F8">
        <w:rPr>
          <w:rFonts w:ascii="Times New Roman" w:hAnsi="Times New Roman" w:cs="Times New Roman"/>
          <w:sz w:val="28"/>
          <w:szCs w:val="28"/>
        </w:rPr>
        <w:t xml:space="preserve"> </w:t>
      </w:r>
      <w:r w:rsidRPr="00EC20F8">
        <w:rPr>
          <w:rFonts w:ascii="Times New Roman" w:hAnsi="Times New Roman" w:cs="Times New Roman"/>
          <w:sz w:val="28"/>
          <w:szCs w:val="28"/>
        </w:rPr>
        <w:t>имеющих среднее профессиональное образование на 0,8 % (17,0 %);</w:t>
      </w:r>
      <w:r w:rsidR="00DE2F76" w:rsidRPr="00EC20F8">
        <w:rPr>
          <w:rFonts w:ascii="Times New Roman" w:hAnsi="Times New Roman" w:cs="Times New Roman"/>
          <w:sz w:val="28"/>
          <w:szCs w:val="28"/>
        </w:rPr>
        <w:t xml:space="preserve">  </w:t>
      </w:r>
      <w:proofErr w:type="gramStart"/>
      <w:r w:rsidR="00DE2F76" w:rsidRPr="00EC20F8">
        <w:rPr>
          <w:rFonts w:ascii="Times New Roman" w:hAnsi="Times New Roman" w:cs="Times New Roman"/>
          <w:sz w:val="28"/>
          <w:szCs w:val="28"/>
        </w:rPr>
        <w:t xml:space="preserve">начальное </w:t>
      </w:r>
      <w:r w:rsidRPr="00EC20F8">
        <w:rPr>
          <w:rFonts w:ascii="Times New Roman" w:hAnsi="Times New Roman" w:cs="Times New Roman"/>
          <w:sz w:val="28"/>
          <w:szCs w:val="28"/>
        </w:rPr>
        <w:t>профессиональное</w:t>
      </w:r>
      <w:proofErr w:type="gramEnd"/>
      <w:r w:rsidRPr="00EC20F8">
        <w:rPr>
          <w:rFonts w:ascii="Times New Roman" w:hAnsi="Times New Roman" w:cs="Times New Roman"/>
          <w:sz w:val="28"/>
          <w:szCs w:val="28"/>
        </w:rPr>
        <w:t xml:space="preserve"> образование – на 3,3 % (10,8 %), не имеющих среднего (полного) общего – на 0,9 % (8,9 %).</w:t>
      </w:r>
    </w:p>
    <w:p w:rsidR="00202941" w:rsidRPr="00EC20F8" w:rsidRDefault="00202941" w:rsidP="00202941">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Уровень безработицы на 01.01.2014 года, взятый как отношение количества безработных граждан, рассчитанного по методике Международной организации труда (далее – МОТ), к экономически активному населению, составил 7,7 %. </w:t>
      </w:r>
      <w:proofErr w:type="gramStart"/>
      <w:r w:rsidRPr="00EC20F8">
        <w:rPr>
          <w:rFonts w:ascii="Times New Roman" w:hAnsi="Times New Roman" w:cs="Times New Roman"/>
          <w:sz w:val="28"/>
          <w:szCs w:val="28"/>
        </w:rPr>
        <w:t>Общая численность безработных, рассчитанная по методологии МОТ осталась</w:t>
      </w:r>
      <w:proofErr w:type="gramEnd"/>
      <w:r w:rsidRPr="00EC20F8">
        <w:rPr>
          <w:rFonts w:ascii="Times New Roman" w:hAnsi="Times New Roman" w:cs="Times New Roman"/>
          <w:sz w:val="28"/>
          <w:szCs w:val="28"/>
        </w:rPr>
        <w:t xml:space="preserve"> на уровне 2012 года и составила 8,8 тысяч человек.</w:t>
      </w:r>
    </w:p>
    <w:p w:rsidR="00202941" w:rsidRPr="00EC20F8" w:rsidRDefault="00202941" w:rsidP="00202941">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Безработица носит сезонный характер. В период сезонных работ (май-сентябрь) наблюдается снижение уровня регистрируемой безработицы, в первом и четвертом кварталах года – стабильный рост.</w:t>
      </w:r>
    </w:p>
    <w:p w:rsidR="00202941" w:rsidRPr="00EC20F8" w:rsidRDefault="00DE2F76" w:rsidP="00202941">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По состоянию на 01.01.2014</w:t>
      </w:r>
      <w:r w:rsidR="00202941" w:rsidRPr="00EC20F8">
        <w:rPr>
          <w:rFonts w:ascii="Times New Roman" w:hAnsi="Times New Roman" w:cs="Times New Roman"/>
          <w:sz w:val="28"/>
          <w:szCs w:val="28"/>
        </w:rPr>
        <w:t xml:space="preserve"> в банке вакансий Центра занятости имелись заявки на 3</w:t>
      </w:r>
      <w:r w:rsidRPr="00EC20F8">
        <w:rPr>
          <w:rFonts w:ascii="Times New Roman" w:hAnsi="Times New Roman" w:cs="Times New Roman"/>
          <w:sz w:val="28"/>
          <w:szCs w:val="28"/>
        </w:rPr>
        <w:t xml:space="preserve"> </w:t>
      </w:r>
      <w:r w:rsidR="00202941" w:rsidRPr="00EC20F8">
        <w:rPr>
          <w:rFonts w:ascii="Times New Roman" w:hAnsi="Times New Roman" w:cs="Times New Roman"/>
          <w:sz w:val="28"/>
          <w:szCs w:val="28"/>
        </w:rPr>
        <w:t>151 работ</w:t>
      </w:r>
      <w:r w:rsidRPr="00EC20F8">
        <w:rPr>
          <w:rFonts w:ascii="Times New Roman" w:hAnsi="Times New Roman" w:cs="Times New Roman"/>
          <w:sz w:val="28"/>
          <w:szCs w:val="28"/>
        </w:rPr>
        <w:t xml:space="preserve">ника, что на 4,7 % больше, чем </w:t>
      </w:r>
      <w:r w:rsidR="00202941" w:rsidRPr="00EC20F8">
        <w:rPr>
          <w:rFonts w:ascii="Times New Roman" w:hAnsi="Times New Roman" w:cs="Times New Roman"/>
          <w:sz w:val="28"/>
          <w:szCs w:val="28"/>
        </w:rPr>
        <w:t xml:space="preserve">на 01.01.2013. Доля вакансий с оплатой труда выше прожиточного минимума составила </w:t>
      </w:r>
      <w:r w:rsidRPr="00EC20F8">
        <w:rPr>
          <w:rFonts w:ascii="Times New Roman" w:hAnsi="Times New Roman" w:cs="Times New Roman"/>
          <w:sz w:val="28"/>
          <w:szCs w:val="28"/>
        </w:rPr>
        <w:t xml:space="preserve">   </w:t>
      </w:r>
      <w:r w:rsidR="00202941" w:rsidRPr="00EC20F8">
        <w:rPr>
          <w:rFonts w:ascii="Times New Roman" w:hAnsi="Times New Roman" w:cs="Times New Roman"/>
          <w:sz w:val="28"/>
          <w:szCs w:val="28"/>
        </w:rPr>
        <w:t>92 % (2</w:t>
      </w:r>
      <w:r w:rsidRPr="00EC20F8">
        <w:rPr>
          <w:rFonts w:ascii="Times New Roman" w:hAnsi="Times New Roman" w:cs="Times New Roman"/>
          <w:sz w:val="28"/>
          <w:szCs w:val="28"/>
        </w:rPr>
        <w:t xml:space="preserve"> </w:t>
      </w:r>
      <w:r w:rsidR="00202941" w:rsidRPr="00EC20F8">
        <w:rPr>
          <w:rFonts w:ascii="Times New Roman" w:hAnsi="Times New Roman" w:cs="Times New Roman"/>
          <w:sz w:val="28"/>
          <w:szCs w:val="28"/>
        </w:rPr>
        <w:t xml:space="preserve">889 единиц). Потребность работодателей в специалистах рабочих профессий  осталась на уровне 2013 года и составила 76 % от заявленной потребности. </w:t>
      </w:r>
    </w:p>
    <w:p w:rsidR="00202941" w:rsidRPr="00EC20F8" w:rsidRDefault="00202941" w:rsidP="00202941">
      <w:pPr>
        <w:pStyle w:val="-235"/>
        <w:spacing w:after="0" w:line="240" w:lineRule="auto"/>
        <w:ind w:left="0" w:firstLine="709"/>
        <w:jc w:val="both"/>
        <w:rPr>
          <w:rFonts w:ascii="Times New Roman" w:hAnsi="Times New Roman" w:cs="Times New Roman"/>
          <w:sz w:val="28"/>
          <w:szCs w:val="28"/>
        </w:rPr>
      </w:pPr>
      <w:r w:rsidRPr="00EC20F8">
        <w:rPr>
          <w:rFonts w:ascii="Times New Roman" w:hAnsi="Times New Roman" w:cs="Times New Roman"/>
          <w:sz w:val="28"/>
          <w:szCs w:val="28"/>
        </w:rPr>
        <w:t>Как и в несколько предыдущих лет,</w:t>
      </w:r>
      <w:r w:rsidR="00DE2F76" w:rsidRPr="00EC20F8">
        <w:rPr>
          <w:rFonts w:ascii="Times New Roman" w:hAnsi="Times New Roman" w:cs="Times New Roman"/>
          <w:sz w:val="28"/>
          <w:szCs w:val="28"/>
        </w:rPr>
        <w:t xml:space="preserve"> </w:t>
      </w:r>
      <w:r w:rsidRPr="00EC20F8">
        <w:rPr>
          <w:rFonts w:ascii="Times New Roman" w:hAnsi="Times New Roman" w:cs="Times New Roman"/>
          <w:sz w:val="28"/>
          <w:szCs w:val="28"/>
        </w:rPr>
        <w:t>увеличилось количество заявок на строительные специальности в связи с ростом объемов работ по строительству. Много вакансий поступило на флотские специальности на период путины от рыболовецких фирм, в жилищно-коммунальной сфере – в период подготовки к новому отопительному сезону и для благоустройства территории города.</w:t>
      </w:r>
      <w:r w:rsidR="00207AE1" w:rsidRPr="00EC20F8">
        <w:rPr>
          <w:rFonts w:ascii="Times New Roman" w:hAnsi="Times New Roman" w:cs="Times New Roman"/>
          <w:sz w:val="28"/>
          <w:szCs w:val="28"/>
        </w:rPr>
        <w:t xml:space="preserve"> </w:t>
      </w:r>
      <w:proofErr w:type="gramStart"/>
      <w:r w:rsidRPr="00EC20F8">
        <w:rPr>
          <w:rFonts w:ascii="Times New Roman" w:hAnsi="Times New Roman" w:cs="Times New Roman"/>
          <w:sz w:val="28"/>
          <w:szCs w:val="28"/>
        </w:rPr>
        <w:t>Анализ рынка вакантных рабочих мест показывает, что наибольшее количество заявок по рабочим специальностям поступало в 2013 на обработчиков рыбы, водителей автомобилей различных категорий, монтажников, плотников, бетонщиков, маляров, облицовщиков, кровельщиков, штукатуров, сварщиков, матросов, механизаторов (трактористы, бульдозеристы, автогрейдеристы), мотористов, сборщиков, слесарей-сантехников, поваров, пекарей, младший обслуживающий.</w:t>
      </w:r>
      <w:proofErr w:type="gramEnd"/>
    </w:p>
    <w:p w:rsidR="00202941" w:rsidRPr="00EC20F8" w:rsidRDefault="00202941" w:rsidP="00202941">
      <w:pPr>
        <w:pStyle w:val="-235"/>
        <w:spacing w:after="0" w:line="240" w:lineRule="auto"/>
        <w:ind w:left="0"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По служащим и ИТР - на врачей, инженеров, капитанов, товароведов, экономистов, менеджеров, специалистов в различных отраслях, мастеров, лаборантов, бухгалтеров. </w:t>
      </w:r>
      <w:proofErr w:type="gramEnd"/>
    </w:p>
    <w:p w:rsidR="00202941" w:rsidRPr="00EC20F8" w:rsidRDefault="00202941" w:rsidP="00202941">
      <w:pPr>
        <w:pStyle w:val="-235"/>
        <w:spacing w:after="0" w:line="240" w:lineRule="auto"/>
        <w:ind w:left="0" w:firstLine="709"/>
        <w:jc w:val="both"/>
        <w:rPr>
          <w:rFonts w:ascii="Times New Roman" w:hAnsi="Times New Roman" w:cs="Times New Roman"/>
          <w:sz w:val="28"/>
          <w:szCs w:val="28"/>
        </w:rPr>
      </w:pPr>
      <w:r w:rsidRPr="00EC20F8">
        <w:rPr>
          <w:rFonts w:ascii="Times New Roman" w:hAnsi="Times New Roman" w:cs="Times New Roman"/>
          <w:sz w:val="28"/>
          <w:szCs w:val="28"/>
        </w:rPr>
        <w:t>Очень быстро заполняются вакансии на товароведов, бухгалтеров, кассиров, секретарей-машинисток, инженерно-технический персонал, но их поступает ограниченное количество. Спрос на данные специальности среди безработных граждан значительно превышает поступающие заявки.</w:t>
      </w:r>
    </w:p>
    <w:p w:rsidR="00202941" w:rsidRPr="00EC20F8" w:rsidRDefault="00202941" w:rsidP="00202941">
      <w:pPr>
        <w:pStyle w:val="-235"/>
        <w:spacing w:after="0" w:line="240" w:lineRule="auto"/>
        <w:ind w:left="0" w:firstLine="709"/>
        <w:jc w:val="both"/>
        <w:rPr>
          <w:rFonts w:ascii="Times New Roman" w:hAnsi="Times New Roman" w:cs="Times New Roman"/>
          <w:sz w:val="28"/>
          <w:szCs w:val="28"/>
        </w:rPr>
      </w:pPr>
      <w:r w:rsidRPr="00EC20F8">
        <w:rPr>
          <w:rFonts w:ascii="Times New Roman" w:hAnsi="Times New Roman" w:cs="Times New Roman"/>
          <w:sz w:val="28"/>
          <w:szCs w:val="28"/>
        </w:rPr>
        <w:t>Длительно невостребованными (более 3-х месяцев) остаются вакансии по профессиям и специальностям, требующим высокой квалификации и достаточного опыта работы (главные бухгалтеры, врачи, водители, имеющие все категории, рабочие самых высоких разрядов), или с низкой заработной платой.</w:t>
      </w:r>
    </w:p>
    <w:p w:rsidR="00202941" w:rsidRPr="00EC20F8" w:rsidRDefault="00202941" w:rsidP="00202941">
      <w:pPr>
        <w:spacing w:line="240" w:lineRule="auto"/>
        <w:ind w:firstLine="709"/>
        <w:jc w:val="both"/>
        <w:rPr>
          <w:rFonts w:ascii="Times New Roman" w:hAnsi="Times New Roman" w:cs="Times New Roman"/>
          <w:sz w:val="28"/>
          <w:szCs w:val="28"/>
        </w:rPr>
      </w:pPr>
      <w:r w:rsidRPr="00EC20F8">
        <w:rPr>
          <w:rFonts w:ascii="Times New Roman" w:hAnsi="Times New Roman" w:cs="Times New Roman"/>
          <w:b/>
          <w:i/>
          <w:sz w:val="28"/>
          <w:szCs w:val="28"/>
        </w:rPr>
        <w:t>По оценке, в 2014 году</w:t>
      </w:r>
      <w:r w:rsidRPr="00EC20F8">
        <w:rPr>
          <w:rFonts w:ascii="Times New Roman" w:hAnsi="Times New Roman" w:cs="Times New Roman"/>
          <w:sz w:val="28"/>
          <w:szCs w:val="28"/>
        </w:rPr>
        <w:t xml:space="preserve"> существенных изменений на рынке труда не ожидается. Динамика основ</w:t>
      </w:r>
      <w:r w:rsidR="00DE2F76" w:rsidRPr="00EC20F8">
        <w:rPr>
          <w:rFonts w:ascii="Times New Roman" w:hAnsi="Times New Roman" w:cs="Times New Roman"/>
          <w:sz w:val="28"/>
          <w:szCs w:val="28"/>
        </w:rPr>
        <w:t xml:space="preserve">ных показателей сохранит темпы </w:t>
      </w:r>
      <w:r w:rsidRPr="00EC20F8">
        <w:rPr>
          <w:rFonts w:ascii="Times New Roman" w:hAnsi="Times New Roman" w:cs="Times New Roman"/>
          <w:sz w:val="28"/>
          <w:szCs w:val="28"/>
        </w:rPr>
        <w:t xml:space="preserve">роста на уровне 2013 года. </w:t>
      </w:r>
      <w:r w:rsidRPr="00EC20F8">
        <w:rPr>
          <w:rFonts w:ascii="Times New Roman" w:eastAsia="Calibri" w:hAnsi="Times New Roman" w:cs="Times New Roman"/>
          <w:sz w:val="28"/>
          <w:szCs w:val="28"/>
        </w:rPr>
        <w:t xml:space="preserve">Численность </w:t>
      </w:r>
      <w:r w:rsidRPr="00EC20F8">
        <w:rPr>
          <w:rFonts w:ascii="Times New Roman" w:hAnsi="Times New Roman" w:cs="Times New Roman"/>
          <w:sz w:val="28"/>
          <w:szCs w:val="28"/>
        </w:rPr>
        <w:t>экономически активного населения в 2014 году ожидается на уровне 2013 года – 114,02</w:t>
      </w:r>
      <w:r w:rsidRPr="00EC20F8">
        <w:rPr>
          <w:rFonts w:ascii="Times New Roman" w:eastAsia="Calibri" w:hAnsi="Times New Roman" w:cs="Times New Roman"/>
          <w:sz w:val="28"/>
          <w:szCs w:val="28"/>
        </w:rPr>
        <w:t xml:space="preserve"> тыс</w:t>
      </w:r>
      <w:r w:rsidRPr="00EC20F8">
        <w:rPr>
          <w:rFonts w:ascii="Times New Roman" w:hAnsi="Times New Roman" w:cs="Times New Roman"/>
          <w:sz w:val="28"/>
          <w:szCs w:val="28"/>
        </w:rPr>
        <w:t>яч</w:t>
      </w:r>
      <w:r w:rsidRPr="00EC20F8">
        <w:rPr>
          <w:rFonts w:ascii="Times New Roman" w:eastAsia="Calibri" w:hAnsi="Times New Roman" w:cs="Times New Roman"/>
          <w:sz w:val="28"/>
          <w:szCs w:val="28"/>
        </w:rPr>
        <w:t xml:space="preserve"> человек. Численность </w:t>
      </w:r>
      <w:r w:rsidRPr="00EC20F8">
        <w:rPr>
          <w:rFonts w:ascii="Times New Roman" w:hAnsi="Times New Roman" w:cs="Times New Roman"/>
          <w:sz w:val="28"/>
          <w:szCs w:val="28"/>
        </w:rPr>
        <w:t xml:space="preserve">населения </w:t>
      </w:r>
      <w:r w:rsidRPr="00EC20F8">
        <w:rPr>
          <w:rFonts w:ascii="Times New Roman" w:eastAsia="Calibri" w:hAnsi="Times New Roman" w:cs="Times New Roman"/>
          <w:sz w:val="28"/>
          <w:szCs w:val="28"/>
        </w:rPr>
        <w:t>занятого в э</w:t>
      </w:r>
      <w:r w:rsidR="00DE2F76" w:rsidRPr="00EC20F8">
        <w:rPr>
          <w:rFonts w:ascii="Times New Roman" w:hAnsi="Times New Roman" w:cs="Times New Roman"/>
          <w:sz w:val="28"/>
          <w:szCs w:val="28"/>
        </w:rPr>
        <w:t>кономике,</w:t>
      </w:r>
      <w:r w:rsidRPr="00EC20F8">
        <w:rPr>
          <w:rFonts w:ascii="Times New Roman" w:eastAsia="Calibri" w:hAnsi="Times New Roman" w:cs="Times New Roman"/>
          <w:sz w:val="28"/>
          <w:szCs w:val="28"/>
        </w:rPr>
        <w:t xml:space="preserve"> </w:t>
      </w:r>
      <w:r w:rsidRPr="00EC20F8">
        <w:rPr>
          <w:rFonts w:ascii="Times New Roman" w:hAnsi="Times New Roman" w:cs="Times New Roman"/>
          <w:sz w:val="28"/>
          <w:szCs w:val="28"/>
        </w:rPr>
        <w:t xml:space="preserve">по оценке, увеличится по отношению к предшествующему году на 0,32 % и составит 103,5 </w:t>
      </w:r>
      <w:r w:rsidRPr="00EC20F8">
        <w:rPr>
          <w:rFonts w:ascii="Times New Roman" w:eastAsia="Calibri" w:hAnsi="Times New Roman" w:cs="Times New Roman"/>
          <w:sz w:val="28"/>
          <w:szCs w:val="28"/>
        </w:rPr>
        <w:t>тыс</w:t>
      </w:r>
      <w:r w:rsidRPr="00EC20F8">
        <w:rPr>
          <w:rFonts w:ascii="Times New Roman" w:hAnsi="Times New Roman" w:cs="Times New Roman"/>
          <w:sz w:val="28"/>
          <w:szCs w:val="28"/>
        </w:rPr>
        <w:t>яч</w:t>
      </w:r>
      <w:r w:rsidRPr="00EC20F8">
        <w:rPr>
          <w:rFonts w:ascii="Times New Roman" w:eastAsia="Calibri" w:hAnsi="Times New Roman" w:cs="Times New Roman"/>
          <w:sz w:val="28"/>
          <w:szCs w:val="28"/>
        </w:rPr>
        <w:t xml:space="preserve"> человек. Численность безработных, рассчитанная по методике МОТ, составит в 2014 году по оценке </w:t>
      </w:r>
      <w:r w:rsidRPr="00EC20F8">
        <w:rPr>
          <w:rFonts w:ascii="Times New Roman" w:hAnsi="Times New Roman" w:cs="Times New Roman"/>
          <w:sz w:val="28"/>
          <w:szCs w:val="28"/>
        </w:rPr>
        <w:t xml:space="preserve">8,7 </w:t>
      </w:r>
      <w:r w:rsidRPr="00EC20F8">
        <w:rPr>
          <w:rFonts w:ascii="Times New Roman" w:eastAsia="Calibri" w:hAnsi="Times New Roman" w:cs="Times New Roman"/>
          <w:sz w:val="28"/>
          <w:szCs w:val="28"/>
        </w:rPr>
        <w:t>тыс</w:t>
      </w:r>
      <w:r w:rsidRPr="00EC20F8">
        <w:rPr>
          <w:rFonts w:ascii="Times New Roman" w:hAnsi="Times New Roman" w:cs="Times New Roman"/>
          <w:sz w:val="28"/>
          <w:szCs w:val="28"/>
        </w:rPr>
        <w:t>яч</w:t>
      </w:r>
      <w:r w:rsidRPr="00EC20F8">
        <w:rPr>
          <w:rFonts w:ascii="Times New Roman" w:eastAsia="Calibri" w:hAnsi="Times New Roman" w:cs="Times New Roman"/>
          <w:sz w:val="28"/>
          <w:szCs w:val="28"/>
        </w:rPr>
        <w:t xml:space="preserve"> человек, что на 1,</w:t>
      </w:r>
      <w:r w:rsidRPr="00EC20F8">
        <w:rPr>
          <w:rFonts w:ascii="Times New Roman" w:hAnsi="Times New Roman" w:cs="Times New Roman"/>
          <w:sz w:val="28"/>
          <w:szCs w:val="28"/>
        </w:rPr>
        <w:t xml:space="preserve">14 </w:t>
      </w:r>
      <w:r w:rsidRPr="00EC20F8">
        <w:rPr>
          <w:rFonts w:ascii="Times New Roman" w:eastAsia="Calibri" w:hAnsi="Times New Roman" w:cs="Times New Roman"/>
          <w:sz w:val="28"/>
          <w:szCs w:val="28"/>
        </w:rPr>
        <w:t>% ниже уровня 2013 года</w:t>
      </w:r>
      <w:r w:rsidR="00DE2F76" w:rsidRPr="00EC20F8">
        <w:rPr>
          <w:rFonts w:ascii="Times New Roman" w:hAnsi="Times New Roman" w:cs="Times New Roman"/>
          <w:sz w:val="28"/>
          <w:szCs w:val="28"/>
        </w:rPr>
        <w:t xml:space="preserve">, ее доля </w:t>
      </w:r>
      <w:r w:rsidRPr="00EC20F8">
        <w:rPr>
          <w:rFonts w:ascii="Times New Roman" w:eastAsia="Calibri" w:hAnsi="Times New Roman" w:cs="Times New Roman"/>
          <w:sz w:val="28"/>
          <w:szCs w:val="28"/>
        </w:rPr>
        <w:t xml:space="preserve">в численности экономически активного населения составит </w:t>
      </w:r>
      <w:r w:rsidRPr="00EC20F8">
        <w:rPr>
          <w:rFonts w:ascii="Times New Roman" w:hAnsi="Times New Roman" w:cs="Times New Roman"/>
          <w:sz w:val="28"/>
          <w:szCs w:val="28"/>
        </w:rPr>
        <w:t>7,63</w:t>
      </w:r>
      <w:r w:rsidRPr="00EC20F8">
        <w:rPr>
          <w:rFonts w:ascii="Times New Roman" w:eastAsia="Calibri" w:hAnsi="Times New Roman" w:cs="Times New Roman"/>
          <w:sz w:val="28"/>
          <w:szCs w:val="28"/>
        </w:rPr>
        <w:t xml:space="preserve"> %</w:t>
      </w:r>
      <w:r w:rsidRPr="00EC20F8">
        <w:rPr>
          <w:rFonts w:ascii="Times New Roman" w:hAnsi="Times New Roman" w:cs="Times New Roman"/>
          <w:sz w:val="28"/>
          <w:szCs w:val="28"/>
        </w:rPr>
        <w:t xml:space="preserve"> (уровень безработицы </w:t>
      </w:r>
      <w:proofErr w:type="gramStart"/>
      <w:r w:rsidRPr="00EC20F8">
        <w:rPr>
          <w:rFonts w:ascii="Times New Roman" w:hAnsi="Times New Roman" w:cs="Times New Roman"/>
          <w:sz w:val="28"/>
          <w:szCs w:val="28"/>
        </w:rPr>
        <w:t>по</w:t>
      </w:r>
      <w:proofErr w:type="gramEnd"/>
      <w:r w:rsidRPr="00EC20F8">
        <w:rPr>
          <w:rFonts w:ascii="Times New Roman" w:hAnsi="Times New Roman" w:cs="Times New Roman"/>
          <w:sz w:val="28"/>
          <w:szCs w:val="28"/>
        </w:rPr>
        <w:t xml:space="preserve"> МОТ)</w:t>
      </w:r>
      <w:r w:rsidRPr="00EC20F8">
        <w:rPr>
          <w:rFonts w:ascii="Times New Roman" w:eastAsia="Calibri" w:hAnsi="Times New Roman" w:cs="Times New Roman"/>
          <w:sz w:val="28"/>
          <w:szCs w:val="28"/>
        </w:rPr>
        <w:t xml:space="preserve">. </w:t>
      </w:r>
      <w:r w:rsidRPr="00EC20F8">
        <w:rPr>
          <w:rFonts w:ascii="Times New Roman" w:hAnsi="Times New Roman" w:cs="Times New Roman"/>
          <w:sz w:val="28"/>
          <w:szCs w:val="28"/>
        </w:rPr>
        <w:t xml:space="preserve">Уровень официально зарегистрированной безработицы </w:t>
      </w:r>
      <w:r w:rsidRPr="00EC20F8">
        <w:rPr>
          <w:rFonts w:ascii="Times New Roman" w:eastAsia="Calibri" w:hAnsi="Times New Roman" w:cs="Times New Roman"/>
          <w:sz w:val="28"/>
          <w:szCs w:val="28"/>
        </w:rPr>
        <w:t>в 2014 году</w:t>
      </w:r>
      <w:r w:rsidRPr="00EC20F8">
        <w:rPr>
          <w:rFonts w:ascii="Times New Roman" w:hAnsi="Times New Roman" w:cs="Times New Roman"/>
          <w:sz w:val="28"/>
          <w:szCs w:val="28"/>
        </w:rPr>
        <w:t xml:space="preserve"> незначительно снизится и оценивается на уровне 0,81</w:t>
      </w:r>
      <w:r w:rsidR="00DE2F76" w:rsidRPr="00EC20F8">
        <w:rPr>
          <w:rFonts w:ascii="Times New Roman" w:hAnsi="Times New Roman" w:cs="Times New Roman"/>
          <w:sz w:val="28"/>
          <w:szCs w:val="28"/>
        </w:rPr>
        <w:t xml:space="preserve"> </w:t>
      </w:r>
      <w:r w:rsidRPr="00EC20F8">
        <w:rPr>
          <w:rFonts w:ascii="Times New Roman" w:hAnsi="Times New Roman" w:cs="Times New Roman"/>
          <w:sz w:val="28"/>
          <w:szCs w:val="28"/>
        </w:rPr>
        <w:t>% (2013 год – 0,80 %).</w:t>
      </w:r>
    </w:p>
    <w:p w:rsidR="00202941" w:rsidRPr="00EC20F8" w:rsidRDefault="00202941" w:rsidP="00202941">
      <w:pPr>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b/>
          <w:i/>
          <w:sz w:val="28"/>
          <w:szCs w:val="28"/>
        </w:rPr>
        <w:t>В прогнозном периоде</w:t>
      </w:r>
      <w:r w:rsidRPr="00EC20F8">
        <w:rPr>
          <w:rFonts w:ascii="Times New Roman" w:hAnsi="Times New Roman" w:cs="Times New Roman"/>
          <w:sz w:val="28"/>
          <w:szCs w:val="28"/>
        </w:rPr>
        <w:t xml:space="preserve"> ожидается некоторое улучшение ситуации на рынке труда, на формирование которого будут оказывать влияние такие факторы, как демографические (сокращение численности населения в трудоспособном возрасте), темпы роста экономики, а также эффективность реализации принятых и планируемых мер по поддержанию занятости населения.</w:t>
      </w:r>
      <w:proofErr w:type="gramEnd"/>
      <w:r w:rsidRPr="00EC20F8">
        <w:rPr>
          <w:rFonts w:ascii="Times New Roman" w:hAnsi="Times New Roman" w:cs="Times New Roman"/>
          <w:sz w:val="28"/>
          <w:szCs w:val="28"/>
        </w:rPr>
        <w:t xml:space="preserve"> Особое внимание будет уделяться мерам, способствующим развитию и рациональному использованию трудового потенциала городского округа, привлечению квалифицированных кадров, стимулированию экономической активности граждан.</w:t>
      </w:r>
    </w:p>
    <w:p w:rsidR="00202941" w:rsidRPr="00EC20F8" w:rsidRDefault="00202941" w:rsidP="00202941">
      <w:pPr>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В 2015-2017 годах продолжится реализация на территории городского округа </w:t>
      </w:r>
      <w:r w:rsidR="00DE2F76" w:rsidRPr="00EC20F8">
        <w:rPr>
          <w:rFonts w:ascii="Times New Roman" w:hAnsi="Times New Roman" w:cs="Times New Roman"/>
          <w:sz w:val="28"/>
          <w:szCs w:val="28"/>
        </w:rPr>
        <w:t>г</w:t>
      </w:r>
      <w:r w:rsidRPr="00EC20F8">
        <w:rPr>
          <w:rFonts w:ascii="Times New Roman" w:hAnsi="Times New Roman" w:cs="Times New Roman"/>
          <w:sz w:val="28"/>
          <w:szCs w:val="28"/>
        </w:rPr>
        <w:t xml:space="preserve">осударственной программы Камчатского края «Содействие занятости населения Камчатского края на 2014-2018 годы» и </w:t>
      </w:r>
      <w:r w:rsidR="00DE2F76" w:rsidRPr="00EC20F8">
        <w:rPr>
          <w:rFonts w:ascii="Times New Roman" w:hAnsi="Times New Roman" w:cs="Times New Roman"/>
          <w:sz w:val="28"/>
          <w:szCs w:val="28"/>
        </w:rPr>
        <w:t>г</w:t>
      </w:r>
      <w:r w:rsidRPr="00EC20F8">
        <w:rPr>
          <w:rFonts w:ascii="Times New Roman" w:hAnsi="Times New Roman" w:cs="Times New Roman"/>
          <w:sz w:val="28"/>
          <w:szCs w:val="28"/>
        </w:rPr>
        <w:t xml:space="preserve">осударственной программы Камчатского края </w:t>
      </w:r>
      <w:r w:rsidR="00DE2F76" w:rsidRPr="00EC20F8">
        <w:rPr>
          <w:rFonts w:ascii="Times New Roman" w:hAnsi="Times New Roman" w:cs="Times New Roman"/>
          <w:sz w:val="28"/>
          <w:szCs w:val="28"/>
        </w:rPr>
        <w:t>«</w:t>
      </w:r>
      <w:r w:rsidRPr="00EC20F8">
        <w:rPr>
          <w:rFonts w:ascii="Times New Roman" w:hAnsi="Times New Roman" w:cs="Times New Roman"/>
          <w:sz w:val="28"/>
          <w:szCs w:val="28"/>
        </w:rPr>
        <w:t>Развитие образования в Камчатском крае на 2014-2016 годы</w:t>
      </w:r>
      <w:r w:rsidR="00DE2F76" w:rsidRPr="00EC20F8">
        <w:rPr>
          <w:rFonts w:ascii="Times New Roman" w:hAnsi="Times New Roman" w:cs="Times New Roman"/>
          <w:sz w:val="28"/>
          <w:szCs w:val="28"/>
        </w:rPr>
        <w:t>»</w:t>
      </w:r>
      <w:r w:rsidRPr="00EC20F8">
        <w:rPr>
          <w:rFonts w:ascii="Times New Roman" w:hAnsi="Times New Roman" w:cs="Times New Roman"/>
          <w:sz w:val="28"/>
          <w:szCs w:val="28"/>
        </w:rPr>
        <w:t xml:space="preserve"> (Подпрограмма 2 </w:t>
      </w:r>
      <w:r w:rsidR="00DE2F76" w:rsidRPr="00EC20F8">
        <w:rPr>
          <w:rFonts w:ascii="Times New Roman" w:hAnsi="Times New Roman" w:cs="Times New Roman"/>
          <w:sz w:val="28"/>
          <w:szCs w:val="28"/>
        </w:rPr>
        <w:t>«</w:t>
      </w:r>
      <w:r w:rsidRPr="00EC20F8">
        <w:rPr>
          <w:rFonts w:ascii="Times New Roman" w:hAnsi="Times New Roman" w:cs="Times New Roman"/>
          <w:sz w:val="28"/>
          <w:szCs w:val="28"/>
        </w:rPr>
        <w:t>Развитие профессионального образования в Камчатском крае</w:t>
      </w:r>
      <w:r w:rsidR="00DE2F76" w:rsidRPr="00EC20F8">
        <w:rPr>
          <w:rFonts w:ascii="Times New Roman" w:hAnsi="Times New Roman" w:cs="Times New Roman"/>
          <w:sz w:val="28"/>
          <w:szCs w:val="28"/>
        </w:rPr>
        <w:t>»), направленных на развитие т</w:t>
      </w:r>
      <w:r w:rsidRPr="00EC20F8">
        <w:rPr>
          <w:rFonts w:ascii="Times New Roman" w:hAnsi="Times New Roman" w:cs="Times New Roman"/>
          <w:sz w:val="28"/>
          <w:szCs w:val="28"/>
        </w:rPr>
        <w:t>р</w:t>
      </w:r>
      <w:r w:rsidR="00DE2F76" w:rsidRPr="00EC20F8">
        <w:rPr>
          <w:rFonts w:ascii="Times New Roman" w:hAnsi="Times New Roman" w:cs="Times New Roman"/>
          <w:sz w:val="28"/>
          <w:szCs w:val="28"/>
        </w:rPr>
        <w:t>удовых ресурсов, повышение их</w:t>
      </w:r>
      <w:r w:rsidRPr="00EC20F8">
        <w:rPr>
          <w:rFonts w:ascii="Times New Roman" w:hAnsi="Times New Roman" w:cs="Times New Roman"/>
          <w:sz w:val="28"/>
          <w:szCs w:val="28"/>
        </w:rPr>
        <w:t xml:space="preserve"> мобильности, </w:t>
      </w:r>
      <w:r w:rsidR="00DE2F76" w:rsidRPr="00EC20F8">
        <w:rPr>
          <w:rFonts w:ascii="Times New Roman" w:hAnsi="Times New Roman" w:cs="Times New Roman"/>
          <w:sz w:val="28"/>
          <w:szCs w:val="28"/>
        </w:rPr>
        <w:t xml:space="preserve">создания </w:t>
      </w:r>
      <w:r w:rsidRPr="00EC20F8">
        <w:rPr>
          <w:rFonts w:ascii="Times New Roman" w:hAnsi="Times New Roman" w:cs="Times New Roman"/>
          <w:sz w:val="28"/>
          <w:szCs w:val="28"/>
        </w:rPr>
        <w:t>условий для удовлетво</w:t>
      </w:r>
      <w:r w:rsidR="00DE2F76" w:rsidRPr="00EC20F8">
        <w:rPr>
          <w:rFonts w:ascii="Times New Roman" w:hAnsi="Times New Roman" w:cs="Times New Roman"/>
          <w:sz w:val="28"/>
          <w:szCs w:val="28"/>
        </w:rPr>
        <w:t>рения потребностей рынка труда квалифицированными кадрами в</w:t>
      </w:r>
      <w:proofErr w:type="gramEnd"/>
      <w:r w:rsidR="00DE2F76" w:rsidRPr="00EC20F8">
        <w:rPr>
          <w:rFonts w:ascii="Times New Roman" w:hAnsi="Times New Roman" w:cs="Times New Roman"/>
          <w:sz w:val="28"/>
          <w:szCs w:val="28"/>
        </w:rPr>
        <w:t xml:space="preserve"> </w:t>
      </w:r>
      <w:proofErr w:type="gramStart"/>
      <w:r w:rsidR="00DE2F76" w:rsidRPr="00EC20F8">
        <w:rPr>
          <w:rFonts w:ascii="Times New Roman" w:hAnsi="Times New Roman" w:cs="Times New Roman"/>
          <w:sz w:val="28"/>
          <w:szCs w:val="28"/>
        </w:rPr>
        <w:t>соответствии</w:t>
      </w:r>
      <w:proofErr w:type="gramEnd"/>
      <w:r w:rsidR="00DE2F76" w:rsidRPr="00EC20F8">
        <w:rPr>
          <w:rFonts w:ascii="Times New Roman" w:hAnsi="Times New Roman" w:cs="Times New Roman"/>
          <w:sz w:val="28"/>
          <w:szCs w:val="28"/>
        </w:rPr>
        <w:t xml:space="preserve"> с социальными и </w:t>
      </w:r>
      <w:r w:rsidRPr="00EC20F8">
        <w:rPr>
          <w:rFonts w:ascii="Times New Roman" w:hAnsi="Times New Roman" w:cs="Times New Roman"/>
          <w:sz w:val="28"/>
          <w:szCs w:val="28"/>
        </w:rPr>
        <w:t>экономическими задачами развития. Планируется создание Учебного центра профессиональной квалификации и Центра прикладных квалификаций, реализующие программы профессионального обучения.</w:t>
      </w:r>
    </w:p>
    <w:p w:rsidR="00202941" w:rsidRPr="00EC20F8" w:rsidRDefault="00202941" w:rsidP="00202941">
      <w:pPr>
        <w:spacing w:line="240" w:lineRule="auto"/>
        <w:ind w:firstLine="709"/>
        <w:jc w:val="both"/>
        <w:rPr>
          <w:rFonts w:ascii="Times New Roman" w:hAnsi="Times New Roman" w:cs="Times New Roman"/>
          <w:b/>
          <w:sz w:val="28"/>
          <w:szCs w:val="28"/>
        </w:rPr>
      </w:pPr>
      <w:proofErr w:type="gramStart"/>
      <w:r w:rsidRPr="00EC20F8">
        <w:rPr>
          <w:rFonts w:ascii="Times New Roman" w:hAnsi="Times New Roman" w:cs="Times New Roman"/>
          <w:sz w:val="28"/>
          <w:szCs w:val="28"/>
        </w:rPr>
        <w:t>Деятельность администрации городского округа по стабилизации ситуации на рынке труда в 2015-2017 годах будет направлена на активное взаимодействие с Центром занятости населения по реализации мероприятий:</w:t>
      </w:r>
      <w:proofErr w:type="gramEnd"/>
    </w:p>
    <w:p w:rsidR="00202941" w:rsidRPr="00EC20F8" w:rsidRDefault="00202941" w:rsidP="00F87B95">
      <w:pPr>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b/>
          <w:sz w:val="28"/>
          <w:szCs w:val="28"/>
        </w:rPr>
        <w:t xml:space="preserve">- </w:t>
      </w:r>
      <w:r w:rsidR="00F87B95" w:rsidRPr="00EC20F8">
        <w:rPr>
          <w:rFonts w:ascii="Times New Roman" w:hAnsi="Times New Roman" w:cs="Times New Roman"/>
          <w:sz w:val="28"/>
          <w:szCs w:val="28"/>
        </w:rPr>
        <w:t xml:space="preserve">муниципальной программой «Создание условий для развития культуры, спорта и молодежной политики в </w:t>
      </w:r>
      <w:proofErr w:type="spellStart"/>
      <w:r w:rsidR="00F87B95" w:rsidRPr="00EC20F8">
        <w:rPr>
          <w:rFonts w:ascii="Times New Roman" w:hAnsi="Times New Roman" w:cs="Times New Roman"/>
          <w:sz w:val="28"/>
          <w:szCs w:val="28"/>
        </w:rPr>
        <w:t>Петропавловск-Камчатском</w:t>
      </w:r>
      <w:proofErr w:type="spellEnd"/>
      <w:r w:rsidR="00F87B95" w:rsidRPr="00EC20F8">
        <w:rPr>
          <w:rFonts w:ascii="Times New Roman" w:hAnsi="Times New Roman" w:cs="Times New Roman"/>
          <w:sz w:val="28"/>
          <w:szCs w:val="28"/>
        </w:rPr>
        <w:t xml:space="preserve"> городском округе» (подпрограмма 2 «Молодежь </w:t>
      </w:r>
      <w:proofErr w:type="spellStart"/>
      <w:r w:rsidR="00F87B95" w:rsidRPr="00EC20F8">
        <w:rPr>
          <w:rFonts w:ascii="Times New Roman" w:hAnsi="Times New Roman" w:cs="Times New Roman"/>
          <w:sz w:val="28"/>
          <w:szCs w:val="28"/>
        </w:rPr>
        <w:t>Петропавловск-Камчатского</w:t>
      </w:r>
      <w:proofErr w:type="spellEnd"/>
      <w:r w:rsidR="00F87B95" w:rsidRPr="00EC20F8">
        <w:rPr>
          <w:rFonts w:ascii="Times New Roman" w:hAnsi="Times New Roman" w:cs="Times New Roman"/>
          <w:sz w:val="28"/>
          <w:szCs w:val="28"/>
        </w:rPr>
        <w:t xml:space="preserve"> городского округа»</w:t>
      </w:r>
      <w:r w:rsidR="00DE2F76" w:rsidRPr="00EC20F8">
        <w:rPr>
          <w:rFonts w:ascii="Times New Roman" w:hAnsi="Times New Roman" w:cs="Times New Roman"/>
          <w:b/>
          <w:sz w:val="28"/>
          <w:szCs w:val="28"/>
        </w:rPr>
        <w:t xml:space="preserve"> </w:t>
      </w:r>
      <w:r w:rsidR="00DE2F76" w:rsidRPr="00EC20F8">
        <w:rPr>
          <w:rFonts w:ascii="Times New Roman" w:hAnsi="Times New Roman" w:cs="Times New Roman"/>
          <w:sz w:val="28"/>
          <w:szCs w:val="28"/>
        </w:rPr>
        <w:t xml:space="preserve">в целях </w:t>
      </w:r>
      <w:r w:rsidR="00F87B95" w:rsidRPr="00EC20F8">
        <w:rPr>
          <w:rFonts w:ascii="Times New Roman" w:hAnsi="Times New Roman" w:cs="Times New Roman"/>
          <w:sz w:val="28"/>
          <w:szCs w:val="28"/>
        </w:rPr>
        <w:t>развития форм и методов вовлечения молодежи в трудовую деятельность,</w:t>
      </w:r>
      <w:r w:rsidR="00F87B95" w:rsidRPr="00EC20F8">
        <w:rPr>
          <w:sz w:val="28"/>
          <w:szCs w:val="28"/>
        </w:rPr>
        <w:t xml:space="preserve"> </w:t>
      </w:r>
      <w:r w:rsidR="00F87B95" w:rsidRPr="00EC20F8">
        <w:rPr>
          <w:rFonts w:ascii="Times New Roman" w:hAnsi="Times New Roman" w:cs="Times New Roman"/>
          <w:sz w:val="28"/>
          <w:szCs w:val="28"/>
        </w:rPr>
        <w:t xml:space="preserve">содействия молодежи при выборе профессии и вступлении в трудовую жизнь, </w:t>
      </w:r>
      <w:r w:rsidRPr="00EC20F8">
        <w:rPr>
          <w:rFonts w:ascii="Times New Roman" w:hAnsi="Times New Roman" w:cs="Times New Roman"/>
          <w:sz w:val="28"/>
          <w:szCs w:val="28"/>
        </w:rPr>
        <w:t>обеспечения временного трудоустройства несовершеннолетних граждан в возрасте от 14 до 18 лет во время летних каникул на предприятиях</w:t>
      </w:r>
      <w:proofErr w:type="gramEnd"/>
      <w:r w:rsidRPr="00EC20F8">
        <w:rPr>
          <w:rFonts w:ascii="Times New Roman" w:hAnsi="Times New Roman" w:cs="Times New Roman"/>
          <w:sz w:val="28"/>
          <w:szCs w:val="28"/>
        </w:rPr>
        <w:t xml:space="preserve"> и в организациях города и вторичной занятости в свободное от учебы время, в целях приобщения подростков к труду и получения заработка;</w:t>
      </w:r>
    </w:p>
    <w:p w:rsidR="00202941" w:rsidRPr="00EC20F8" w:rsidRDefault="00202941" w:rsidP="00202941">
      <w:pPr>
        <w:autoSpaceDE w:val="0"/>
        <w:autoSpaceDN w:val="0"/>
        <w:adjustRightInd w:val="0"/>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муниципальной программы «</w:t>
      </w:r>
      <w:r w:rsidR="008A2288" w:rsidRPr="00EC20F8">
        <w:rPr>
          <w:rFonts w:ascii="Times New Roman" w:hAnsi="Times New Roman" w:cs="Times New Roman"/>
          <w:sz w:val="28"/>
          <w:szCs w:val="28"/>
        </w:rPr>
        <w:t xml:space="preserve">«Реализация экономической политики, инвестиционной, межрегиональной и международной деятельности </w:t>
      </w:r>
      <w:proofErr w:type="spellStart"/>
      <w:r w:rsidR="008A2288" w:rsidRPr="00EC20F8">
        <w:rPr>
          <w:rFonts w:ascii="Times New Roman" w:hAnsi="Times New Roman" w:cs="Times New Roman"/>
          <w:sz w:val="28"/>
          <w:szCs w:val="28"/>
        </w:rPr>
        <w:t>Петропавловск-Камчатского</w:t>
      </w:r>
      <w:proofErr w:type="spellEnd"/>
      <w:r w:rsidR="008A2288" w:rsidRPr="00EC20F8">
        <w:rPr>
          <w:rFonts w:ascii="Times New Roman" w:hAnsi="Times New Roman" w:cs="Times New Roman"/>
          <w:sz w:val="28"/>
          <w:szCs w:val="28"/>
        </w:rPr>
        <w:t xml:space="preserve"> городского округа» (подпрограмма 1 «Создание благоприятных условий для обеспечения населения </w:t>
      </w:r>
      <w:proofErr w:type="spellStart"/>
      <w:r w:rsidR="008A2288" w:rsidRPr="00EC20F8">
        <w:rPr>
          <w:rFonts w:ascii="Times New Roman" w:hAnsi="Times New Roman" w:cs="Times New Roman"/>
          <w:sz w:val="28"/>
          <w:szCs w:val="28"/>
        </w:rPr>
        <w:t>Петропавловск-Камчатского</w:t>
      </w:r>
      <w:proofErr w:type="spellEnd"/>
      <w:r w:rsidR="008A2288" w:rsidRPr="00EC20F8">
        <w:rPr>
          <w:rFonts w:ascii="Times New Roman" w:hAnsi="Times New Roman" w:cs="Times New Roman"/>
          <w:sz w:val="28"/>
          <w:szCs w:val="28"/>
        </w:rPr>
        <w:t xml:space="preserve"> городского округа услугами потребительского рынка и развития предпринимательства»,</w:t>
      </w:r>
      <w:r w:rsidRPr="00EC20F8">
        <w:rPr>
          <w:rFonts w:ascii="Times New Roman" w:hAnsi="Times New Roman" w:cs="Times New Roman"/>
          <w:sz w:val="28"/>
          <w:szCs w:val="28"/>
        </w:rPr>
        <w:t xml:space="preserve"> мероприятия которой направлены на стимулирование </w:t>
      </w:r>
      <w:proofErr w:type="spellStart"/>
      <w:r w:rsidRPr="00EC20F8">
        <w:rPr>
          <w:rFonts w:ascii="Times New Roman" w:hAnsi="Times New Roman" w:cs="Times New Roman"/>
          <w:sz w:val="28"/>
          <w:szCs w:val="28"/>
        </w:rPr>
        <w:t>самозанятости</w:t>
      </w:r>
      <w:proofErr w:type="spellEnd"/>
      <w:r w:rsidRPr="00EC20F8">
        <w:rPr>
          <w:rFonts w:ascii="Times New Roman" w:hAnsi="Times New Roman" w:cs="Times New Roman"/>
          <w:sz w:val="28"/>
          <w:szCs w:val="28"/>
        </w:rPr>
        <w:t xml:space="preserve"> безработного населения городского округа, организацию всех видов поддержки субъектам малого и среднего предпринимательства,  что способствует созданию новых рабочих мест.</w:t>
      </w:r>
      <w:proofErr w:type="gramEnd"/>
    </w:p>
    <w:p w:rsidR="00202941" w:rsidRPr="00EC20F8" w:rsidRDefault="00202941" w:rsidP="00202941">
      <w:pPr>
        <w:widowControl w:val="0"/>
        <w:spacing w:line="240" w:lineRule="auto"/>
        <w:ind w:firstLine="709"/>
        <w:jc w:val="both"/>
        <w:rPr>
          <w:rFonts w:ascii="Times New Roman" w:hAnsi="Times New Roman" w:cs="Times New Roman"/>
          <w:sz w:val="12"/>
          <w:szCs w:val="12"/>
        </w:rPr>
      </w:pPr>
      <w:r w:rsidRPr="00EC20F8">
        <w:rPr>
          <w:rFonts w:ascii="Times New Roman" w:hAnsi="Times New Roman" w:cs="Times New Roman"/>
          <w:sz w:val="28"/>
          <w:szCs w:val="28"/>
        </w:rPr>
        <w:t xml:space="preserve">По прогнозируемой динамике </w:t>
      </w:r>
      <w:r w:rsidRPr="00EC20F8">
        <w:rPr>
          <w:rFonts w:ascii="Times New Roman" w:hAnsi="Times New Roman" w:cs="Times New Roman"/>
          <w:b/>
          <w:i/>
          <w:sz w:val="28"/>
          <w:szCs w:val="28"/>
        </w:rPr>
        <w:t>первого варианта</w:t>
      </w:r>
      <w:r w:rsidRPr="00EC20F8">
        <w:rPr>
          <w:rFonts w:ascii="Times New Roman" w:hAnsi="Times New Roman" w:cs="Times New Roman"/>
          <w:sz w:val="28"/>
          <w:szCs w:val="28"/>
        </w:rPr>
        <w:t>, в период до 2017 года численность экономически активного населения городского округа незначительно увеличится, достигнув уровня 114,4 тысяч человек. В общей численности постоянного населения (среднегодовой) городского округа его доля составит около 62,3 %. Прогнозируется увеличение численности занятого населения до 103,88 тысяч человек. Численность безработных, рассчитанная по методологии МОТ, будет снижаться и в 2017 году составит 8,4 тысяч человек (рис. 7.1.):</w:t>
      </w:r>
    </w:p>
    <w:p w:rsidR="00207AE1" w:rsidRPr="00EC20F8" w:rsidRDefault="00207AE1" w:rsidP="00202941">
      <w:pPr>
        <w:widowControl w:val="0"/>
        <w:spacing w:line="240" w:lineRule="auto"/>
        <w:ind w:firstLine="709"/>
        <w:jc w:val="both"/>
        <w:rPr>
          <w:rFonts w:ascii="Times New Roman" w:hAnsi="Times New Roman" w:cs="Times New Roman"/>
          <w:sz w:val="12"/>
          <w:szCs w:val="12"/>
        </w:rPr>
      </w:pPr>
    </w:p>
    <w:p w:rsidR="00202941" w:rsidRPr="00EC20F8" w:rsidRDefault="00202941" w:rsidP="00202941">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noProof/>
          <w:sz w:val="28"/>
          <w:szCs w:val="28"/>
          <w:bdr w:val="single" w:sz="4" w:space="0" w:color="auto"/>
          <w:lang w:eastAsia="ru-RU"/>
        </w:rPr>
        <w:drawing>
          <wp:inline distT="0" distB="0" distL="0" distR="0">
            <wp:extent cx="4600575" cy="2152650"/>
            <wp:effectExtent l="19050" t="0" r="0" b="0"/>
            <wp:docPr id="26"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202941" w:rsidRPr="00EC20F8" w:rsidRDefault="00202941" w:rsidP="00202941">
      <w:pPr>
        <w:ind w:firstLine="708"/>
        <w:jc w:val="center"/>
        <w:rPr>
          <w:rFonts w:ascii="Times New Roman" w:hAnsi="Times New Roman" w:cs="Times New Roman"/>
          <w:i/>
          <w:sz w:val="24"/>
          <w:szCs w:val="24"/>
        </w:rPr>
      </w:pPr>
      <w:r w:rsidRPr="00EC20F8">
        <w:rPr>
          <w:rFonts w:ascii="Times New Roman" w:hAnsi="Times New Roman" w:cs="Times New Roman"/>
          <w:i/>
          <w:sz w:val="24"/>
          <w:szCs w:val="24"/>
        </w:rPr>
        <w:t xml:space="preserve">Рис. 7.1. Прогноз уровня безработицы населения </w:t>
      </w:r>
      <w:proofErr w:type="gramStart"/>
      <w:r w:rsidRPr="00EC20F8">
        <w:rPr>
          <w:rFonts w:ascii="Times New Roman" w:hAnsi="Times New Roman" w:cs="Times New Roman"/>
          <w:i/>
          <w:sz w:val="24"/>
          <w:szCs w:val="24"/>
        </w:rPr>
        <w:t>Петропавловск-Камчатского</w:t>
      </w:r>
      <w:proofErr w:type="gramEnd"/>
      <w:r w:rsidRPr="00EC20F8">
        <w:rPr>
          <w:rFonts w:ascii="Times New Roman" w:hAnsi="Times New Roman" w:cs="Times New Roman"/>
          <w:i/>
          <w:sz w:val="24"/>
          <w:szCs w:val="24"/>
        </w:rPr>
        <w:t xml:space="preserve"> городского округа, %</w:t>
      </w:r>
    </w:p>
    <w:p w:rsidR="00202941" w:rsidRPr="00EC20F8" w:rsidRDefault="00202941" w:rsidP="00202941">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Уровень общей безработицы (рассчитанной по методологии  МОТ) ожидается на уровне 7,34 %. Численность официально зарегистрированных безработных предположительно составит 0,899 тысяч человек, уровень официально зарегистрированной безработицы </w:t>
      </w:r>
      <w:r w:rsidR="00DE2F76" w:rsidRPr="00EC20F8">
        <w:rPr>
          <w:rFonts w:ascii="Times New Roman" w:hAnsi="Times New Roman" w:cs="Times New Roman"/>
          <w:sz w:val="28"/>
          <w:szCs w:val="28"/>
        </w:rPr>
        <w:t>снизится с</w:t>
      </w:r>
      <w:r w:rsidRPr="00EC20F8">
        <w:rPr>
          <w:rFonts w:ascii="Times New Roman" w:hAnsi="Times New Roman" w:cs="Times New Roman"/>
          <w:sz w:val="28"/>
          <w:szCs w:val="28"/>
        </w:rPr>
        <w:t xml:space="preserve"> 8,8 % в 2013 году до 0,79 % в 2017 году. </w:t>
      </w:r>
    </w:p>
    <w:p w:rsidR="00202941" w:rsidRPr="00EC20F8" w:rsidRDefault="00202941" w:rsidP="00202941">
      <w:pPr>
        <w:autoSpaceDE w:val="0"/>
        <w:autoSpaceDN w:val="0"/>
        <w:adjustRightInd w:val="0"/>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Несмотря на улучшение осн</w:t>
      </w:r>
      <w:r w:rsidR="00DE2F76" w:rsidRPr="00EC20F8">
        <w:rPr>
          <w:rFonts w:ascii="Times New Roman" w:hAnsi="Times New Roman" w:cs="Times New Roman"/>
          <w:sz w:val="28"/>
          <w:szCs w:val="28"/>
        </w:rPr>
        <w:t>овных показателей рынка труда в</w:t>
      </w:r>
      <w:r w:rsidRPr="00EC20F8">
        <w:rPr>
          <w:rFonts w:ascii="Times New Roman" w:hAnsi="Times New Roman" w:cs="Times New Roman"/>
          <w:sz w:val="28"/>
          <w:szCs w:val="28"/>
        </w:rPr>
        <w:t xml:space="preserve"> 2015-2017 годах, проблемными останутся сезонная занятость, присутствие на рынке  труда значительной части женщин и молодежи, несоответствие профессионального уровня безработных реальным потребностям рынка. </w:t>
      </w:r>
      <w:proofErr w:type="gramEnd"/>
    </w:p>
    <w:p w:rsidR="00202941" w:rsidRPr="00EC20F8" w:rsidRDefault="00202941" w:rsidP="00202941"/>
    <w:p w:rsidR="00663F57" w:rsidRPr="00EC20F8" w:rsidRDefault="00663F57" w:rsidP="00663F57">
      <w:pPr>
        <w:pStyle w:val="1"/>
      </w:pPr>
      <w:bookmarkStart w:id="74" w:name="_Toc368930205"/>
      <w:bookmarkStart w:id="75" w:name="_Toc368930829"/>
      <w:bookmarkStart w:id="76" w:name="_Toc368988886"/>
      <w:bookmarkStart w:id="77" w:name="_Toc400529669"/>
      <w:r w:rsidRPr="00EC20F8">
        <w:t>8. Доходы населения</w:t>
      </w:r>
      <w:bookmarkEnd w:id="74"/>
      <w:bookmarkEnd w:id="75"/>
      <w:bookmarkEnd w:id="76"/>
      <w:bookmarkEnd w:id="77"/>
    </w:p>
    <w:p w:rsidR="00663F57" w:rsidRPr="00EC20F8" w:rsidRDefault="00663F57" w:rsidP="00663F57">
      <w:pPr>
        <w:rPr>
          <w:rFonts w:ascii="Times New Roman" w:hAnsi="Times New Roman" w:cs="Times New Roman"/>
          <w:sz w:val="28"/>
          <w:szCs w:val="28"/>
        </w:rPr>
      </w:pPr>
    </w:p>
    <w:p w:rsidR="00663F57" w:rsidRPr="00EC20F8" w:rsidRDefault="00663F57" w:rsidP="00663F57">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По данным статистики, в 2013 году </w:t>
      </w:r>
      <w:r w:rsidR="003C52C6" w:rsidRPr="00EC20F8">
        <w:rPr>
          <w:rFonts w:ascii="Times New Roman" w:hAnsi="Times New Roman" w:cs="Times New Roman"/>
          <w:sz w:val="28"/>
          <w:szCs w:val="28"/>
        </w:rPr>
        <w:t xml:space="preserve">доходы населения </w:t>
      </w:r>
      <w:r w:rsidRPr="00EC20F8">
        <w:rPr>
          <w:rFonts w:ascii="Times New Roman" w:hAnsi="Times New Roman" w:cs="Times New Roman"/>
          <w:i/>
          <w:sz w:val="28"/>
          <w:szCs w:val="28"/>
        </w:rPr>
        <w:t>в Камчатском крае</w:t>
      </w:r>
      <w:r w:rsidRPr="00EC20F8">
        <w:rPr>
          <w:rFonts w:ascii="Times New Roman" w:hAnsi="Times New Roman" w:cs="Times New Roman"/>
          <w:sz w:val="28"/>
          <w:szCs w:val="28"/>
        </w:rPr>
        <w:t xml:space="preserve"> </w:t>
      </w:r>
      <w:r w:rsidR="003C52C6" w:rsidRPr="00EC20F8">
        <w:rPr>
          <w:rFonts w:ascii="Times New Roman" w:hAnsi="Times New Roman" w:cs="Times New Roman"/>
          <w:sz w:val="28"/>
          <w:szCs w:val="28"/>
        </w:rPr>
        <w:t xml:space="preserve">были </w:t>
      </w:r>
      <w:r w:rsidR="00DE2F76" w:rsidRPr="00EC20F8">
        <w:rPr>
          <w:rFonts w:ascii="Times New Roman" w:hAnsi="Times New Roman" w:cs="Times New Roman"/>
          <w:sz w:val="28"/>
          <w:szCs w:val="28"/>
        </w:rPr>
        <w:t xml:space="preserve">на </w:t>
      </w:r>
      <w:r w:rsidRPr="00EC20F8">
        <w:rPr>
          <w:rFonts w:ascii="Times New Roman" w:hAnsi="Times New Roman" w:cs="Times New Roman"/>
          <w:sz w:val="28"/>
          <w:szCs w:val="28"/>
        </w:rPr>
        <w:t>уровне 103,9 %, реальная заработная плата одного работника 104,9</w:t>
      </w:r>
      <w:r w:rsidR="00DE2F76" w:rsidRPr="00EC20F8">
        <w:rPr>
          <w:rFonts w:ascii="Times New Roman" w:hAnsi="Times New Roman" w:cs="Times New Roman"/>
          <w:sz w:val="28"/>
          <w:szCs w:val="28"/>
        </w:rPr>
        <w:t xml:space="preserve"> </w:t>
      </w:r>
      <w:r w:rsidRPr="00EC20F8">
        <w:rPr>
          <w:rFonts w:ascii="Times New Roman" w:hAnsi="Times New Roman" w:cs="Times New Roman"/>
          <w:sz w:val="28"/>
          <w:szCs w:val="28"/>
        </w:rPr>
        <w:t>%, реальный размер назначенных пенсий – 103,4%. Номинальный среднедушевой доход сложился в сумме 35 095,0 рубля. По сравнению с доходом за 2012 год его величина выросла на 10,5 %.</w:t>
      </w:r>
    </w:p>
    <w:p w:rsidR="00663F57" w:rsidRPr="00EC20F8" w:rsidRDefault="00663F57" w:rsidP="00663F57">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Среднегодовая величина прожиточного минимума в Камчатском крае составила 14 098 рублей. </w:t>
      </w:r>
    </w:p>
    <w:p w:rsidR="00663F57" w:rsidRPr="00EC20F8" w:rsidRDefault="00663F57" w:rsidP="00663F57">
      <w:pPr>
        <w:widowControl w:val="0"/>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За IV квартал 2013 года величина прожиточного минимума в среднем на душу населения составила 14 384 рубля, увеличившись на 7,4 % по сравнению с IV кварталом 2012 года</w:t>
      </w:r>
      <w:r w:rsidR="003C52C6" w:rsidRPr="00EC20F8">
        <w:rPr>
          <w:rFonts w:ascii="Times New Roman" w:hAnsi="Times New Roman" w:cs="Times New Roman"/>
          <w:sz w:val="28"/>
          <w:szCs w:val="28"/>
        </w:rPr>
        <w:t>:</w:t>
      </w:r>
      <w:r w:rsidRPr="00EC20F8">
        <w:rPr>
          <w:rFonts w:ascii="Times New Roman" w:hAnsi="Times New Roman" w:cs="Times New Roman"/>
          <w:sz w:val="28"/>
          <w:szCs w:val="28"/>
        </w:rPr>
        <w:t xml:space="preserve"> для трудоспособного населения – 14 880 рублей (увеличение составило 6,4 %), пенсионеров – 11 631 рубль (увеличение на 5,2 %), детей</w:t>
      </w:r>
      <w:r w:rsidR="00DE2F76" w:rsidRPr="00EC20F8">
        <w:rPr>
          <w:rFonts w:ascii="Times New Roman" w:hAnsi="Times New Roman" w:cs="Times New Roman"/>
          <w:sz w:val="28"/>
          <w:szCs w:val="28"/>
        </w:rPr>
        <w:t xml:space="preserve"> – 15 264 рубля (увеличение на </w:t>
      </w:r>
      <w:r w:rsidRPr="00EC20F8">
        <w:rPr>
          <w:rFonts w:ascii="Times New Roman" w:hAnsi="Times New Roman" w:cs="Times New Roman"/>
          <w:sz w:val="28"/>
          <w:szCs w:val="28"/>
        </w:rPr>
        <w:t>18,5 %).</w:t>
      </w:r>
      <w:proofErr w:type="gramEnd"/>
    </w:p>
    <w:p w:rsidR="00663F57" w:rsidRPr="00EC20F8" w:rsidRDefault="00663F57" w:rsidP="00663F57">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Соотношение среднедушевых денежных доходов и величины прожиточного минимума за 2013 год в целом составило 2,5 раза (аналогич</w:t>
      </w:r>
      <w:r w:rsidR="00DE2F76" w:rsidRPr="00EC20F8">
        <w:rPr>
          <w:rFonts w:ascii="Times New Roman" w:hAnsi="Times New Roman" w:cs="Times New Roman"/>
          <w:sz w:val="28"/>
          <w:szCs w:val="28"/>
        </w:rPr>
        <w:t>ный показатель предыдущего года</w:t>
      </w:r>
      <w:r w:rsidRPr="00EC20F8">
        <w:rPr>
          <w:rFonts w:ascii="Times New Roman" w:hAnsi="Times New Roman" w:cs="Times New Roman"/>
          <w:sz w:val="28"/>
          <w:szCs w:val="28"/>
        </w:rPr>
        <w:t xml:space="preserve"> - 2,4 раза).</w:t>
      </w:r>
    </w:p>
    <w:p w:rsidR="00663F57" w:rsidRPr="00EC20F8" w:rsidRDefault="00663F57" w:rsidP="00663F57">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Величина прожиточного минимума в 2014 году оценивается в 14 700 рублей, что выше уровня 2013 года на 4,3 %.</w:t>
      </w:r>
    </w:p>
    <w:p w:rsidR="00663F57" w:rsidRPr="00EC20F8" w:rsidRDefault="00663F57" w:rsidP="00663F57">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По предварительной оценке, в 2014 году</w:t>
      </w:r>
      <w:r w:rsidRPr="00EC20F8">
        <w:rPr>
          <w:rFonts w:ascii="Times New Roman" w:hAnsi="Times New Roman" w:cs="Times New Roman"/>
          <w:b/>
          <w:bCs/>
          <w:sz w:val="28"/>
          <w:szCs w:val="28"/>
        </w:rPr>
        <w:t xml:space="preserve"> </w:t>
      </w:r>
      <w:r w:rsidRPr="00EC20F8">
        <w:rPr>
          <w:rFonts w:ascii="Times New Roman" w:hAnsi="Times New Roman" w:cs="Times New Roman"/>
          <w:sz w:val="28"/>
          <w:szCs w:val="28"/>
        </w:rPr>
        <w:t>реальные денежные доходы населения вырастут на 2,6 % относительно предыдущего года.</w:t>
      </w:r>
    </w:p>
    <w:p w:rsidR="00663F57" w:rsidRPr="00EC20F8" w:rsidRDefault="00663F57" w:rsidP="00663F57">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Основные источники, формирующие совокупный денежный доход, сохранят опережающие инфляционные процессы темпы роста. Среднедушевой денежный доход в 2014 году в номинальном значении составит 37 130,4 рублей в месяц</w:t>
      </w:r>
      <w:r w:rsidR="003C52C6" w:rsidRPr="00EC20F8">
        <w:rPr>
          <w:rFonts w:ascii="Times New Roman" w:hAnsi="Times New Roman" w:cs="Times New Roman"/>
          <w:sz w:val="28"/>
          <w:szCs w:val="28"/>
        </w:rPr>
        <w:t>,</w:t>
      </w:r>
      <w:r w:rsidRPr="00EC20F8">
        <w:rPr>
          <w:rFonts w:ascii="Times New Roman" w:hAnsi="Times New Roman" w:cs="Times New Roman"/>
          <w:sz w:val="28"/>
          <w:szCs w:val="28"/>
        </w:rPr>
        <w:t xml:space="preserve"> с ростом к 2013 году на 5,8 %. </w:t>
      </w:r>
    </w:p>
    <w:p w:rsidR="00663F57" w:rsidRPr="00EC20F8" w:rsidRDefault="00663F57" w:rsidP="00663F57">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Предполагается</w:t>
      </w:r>
      <w:r w:rsidRPr="00EC20F8">
        <w:rPr>
          <w:rFonts w:ascii="Times New Roman" w:hAnsi="Times New Roman" w:cs="Times New Roman"/>
          <w:b/>
          <w:i/>
          <w:sz w:val="28"/>
          <w:szCs w:val="28"/>
        </w:rPr>
        <w:t xml:space="preserve"> </w:t>
      </w:r>
      <w:r w:rsidRPr="00EC20F8">
        <w:rPr>
          <w:rFonts w:ascii="Times New Roman" w:hAnsi="Times New Roman" w:cs="Times New Roman"/>
          <w:sz w:val="28"/>
          <w:szCs w:val="28"/>
        </w:rPr>
        <w:t>дальнейшее повышение доходов и развитие платежеспособного потребительского спроса населения Камчатского края. Номинальное значение среднедушевог</w:t>
      </w:r>
      <w:r w:rsidR="00DE2F76" w:rsidRPr="00EC20F8">
        <w:rPr>
          <w:rFonts w:ascii="Times New Roman" w:hAnsi="Times New Roman" w:cs="Times New Roman"/>
          <w:sz w:val="28"/>
          <w:szCs w:val="28"/>
        </w:rPr>
        <w:t xml:space="preserve">о денежного дохода в 2017 году </w:t>
      </w:r>
      <w:r w:rsidRPr="00EC20F8">
        <w:rPr>
          <w:rFonts w:ascii="Times New Roman" w:hAnsi="Times New Roman" w:cs="Times New Roman"/>
          <w:sz w:val="28"/>
          <w:szCs w:val="28"/>
        </w:rPr>
        <w:t xml:space="preserve">возрастет до 47 187,3 рублей в месяц с номинальным приростом к уровню 2012 года на 37,2 %, реальным – 12,5%. </w:t>
      </w:r>
    </w:p>
    <w:p w:rsidR="00663F57" w:rsidRPr="00EC20F8" w:rsidRDefault="00663F57" w:rsidP="00663F57">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На пропорции и темпы роста доходных источников определяющее влияние окажут степень </w:t>
      </w:r>
      <w:proofErr w:type="gramStart"/>
      <w:r w:rsidRPr="00EC20F8">
        <w:rPr>
          <w:rFonts w:ascii="Times New Roman" w:hAnsi="Times New Roman" w:cs="Times New Roman"/>
          <w:sz w:val="28"/>
          <w:szCs w:val="28"/>
        </w:rPr>
        <w:t>достижения целевого уровня экономического развития территориального комплекса</w:t>
      </w:r>
      <w:proofErr w:type="gramEnd"/>
      <w:r w:rsidRPr="00EC20F8">
        <w:rPr>
          <w:rFonts w:ascii="Times New Roman" w:hAnsi="Times New Roman" w:cs="Times New Roman"/>
          <w:sz w:val="28"/>
          <w:szCs w:val="28"/>
        </w:rPr>
        <w:t xml:space="preserve"> в целом, политика отдельных муниципальных образований и меры бюджетной политики всех уровней. В соответствии с ними структура доходов принципиально не изменится – </w:t>
      </w:r>
      <w:r w:rsidR="00DE2F76" w:rsidRPr="00EC20F8">
        <w:rPr>
          <w:rFonts w:ascii="Times New Roman" w:hAnsi="Times New Roman" w:cs="Times New Roman"/>
          <w:sz w:val="28"/>
          <w:szCs w:val="28"/>
        </w:rPr>
        <w:t xml:space="preserve">     </w:t>
      </w:r>
      <w:r w:rsidRPr="00EC20F8">
        <w:rPr>
          <w:rFonts w:ascii="Times New Roman" w:hAnsi="Times New Roman" w:cs="Times New Roman"/>
          <w:sz w:val="28"/>
          <w:szCs w:val="28"/>
        </w:rPr>
        <w:t>50-57 % доходов население будет получать в качестве оплаты труда, до 30 % - в виде социальных трансфертов, в том числе за счет пенсий – 20-25 %. Предпринимательская деятельность обеспечит до 6 % доходов, доходы от собственности составят около 4 %.</w:t>
      </w:r>
    </w:p>
    <w:p w:rsidR="00663F57" w:rsidRPr="00EC20F8" w:rsidRDefault="00663F57" w:rsidP="00663F57">
      <w:pPr>
        <w:widowControl w:val="0"/>
        <w:ind w:firstLine="709"/>
        <w:jc w:val="both"/>
        <w:rPr>
          <w:rFonts w:ascii="Times New Roman" w:hAnsi="Times New Roman" w:cs="Times New Roman"/>
          <w:sz w:val="28"/>
          <w:szCs w:val="28"/>
        </w:rPr>
      </w:pPr>
      <w:r w:rsidRPr="00EC20F8">
        <w:rPr>
          <w:rFonts w:ascii="Times New Roman" w:hAnsi="Times New Roman" w:cs="Times New Roman"/>
          <w:b/>
          <w:i/>
          <w:sz w:val="28"/>
          <w:szCs w:val="28"/>
        </w:rPr>
        <w:t>Изменение величины прожиточного минимума</w:t>
      </w:r>
      <w:r w:rsidRPr="00EC20F8">
        <w:rPr>
          <w:rFonts w:ascii="Times New Roman" w:hAnsi="Times New Roman" w:cs="Times New Roman"/>
          <w:sz w:val="28"/>
          <w:szCs w:val="28"/>
        </w:rPr>
        <w:t xml:space="preserve"> согласно прогнозу выглядит следующим образом: 2014 год – 14 700,0 рублей (темп роста </w:t>
      </w:r>
      <w:r w:rsidR="00DE2F76" w:rsidRPr="00EC20F8">
        <w:rPr>
          <w:rFonts w:ascii="Times New Roman" w:hAnsi="Times New Roman" w:cs="Times New Roman"/>
          <w:sz w:val="28"/>
          <w:szCs w:val="28"/>
        </w:rPr>
        <w:t xml:space="preserve">   </w:t>
      </w:r>
      <w:r w:rsidRPr="00EC20F8">
        <w:rPr>
          <w:rFonts w:ascii="Times New Roman" w:hAnsi="Times New Roman" w:cs="Times New Roman"/>
          <w:sz w:val="28"/>
          <w:szCs w:val="28"/>
        </w:rPr>
        <w:t>104,3 %), в 2015 году - 15 500,0 рублей (105,4 %), в 2016 году – 16 200 рублей (104,5 %), в 2017 году – 17 059,0 рублей (105,3 %).</w:t>
      </w:r>
    </w:p>
    <w:p w:rsidR="00663F57" w:rsidRPr="00EC20F8" w:rsidRDefault="00663F57" w:rsidP="00663F57">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Исходя из критериев, формирующих первый вариант прогноза, реальные денежные доходы населения Камчатского края в 2017 году составят 103,2 %. </w:t>
      </w:r>
    </w:p>
    <w:p w:rsidR="00663F57" w:rsidRPr="00EC20F8" w:rsidRDefault="00663F57" w:rsidP="00663F57">
      <w:pPr>
        <w:widowControl w:val="0"/>
        <w:ind w:firstLine="709"/>
        <w:jc w:val="both"/>
        <w:rPr>
          <w:sz w:val="12"/>
          <w:szCs w:val="12"/>
        </w:rPr>
      </w:pPr>
    </w:p>
    <w:p w:rsidR="00663F57" w:rsidRPr="00EC20F8" w:rsidRDefault="00663F57" w:rsidP="00663F57">
      <w:pPr>
        <w:widowControl w:val="0"/>
        <w:ind w:firstLine="709"/>
        <w:jc w:val="both"/>
        <w:rPr>
          <w:rFonts w:ascii="Times New Roman" w:hAnsi="Times New Roman" w:cs="Times New Roman"/>
          <w:sz w:val="28"/>
          <w:szCs w:val="28"/>
        </w:rPr>
      </w:pPr>
      <w:r w:rsidRPr="00EC20F8">
        <w:rPr>
          <w:rFonts w:ascii="Times New Roman" w:hAnsi="Times New Roman" w:cs="Times New Roman"/>
          <w:b/>
          <w:i/>
          <w:sz w:val="28"/>
          <w:szCs w:val="28"/>
        </w:rPr>
        <w:t xml:space="preserve">На  01.01.2013 </w:t>
      </w:r>
      <w:r w:rsidR="00A31450" w:rsidRPr="00EC20F8">
        <w:rPr>
          <w:rFonts w:ascii="Times New Roman" w:hAnsi="Times New Roman" w:cs="Times New Roman"/>
          <w:b/>
          <w:i/>
          <w:sz w:val="28"/>
          <w:szCs w:val="28"/>
        </w:rPr>
        <w:t xml:space="preserve">года </w:t>
      </w:r>
      <w:r w:rsidRPr="00EC20F8">
        <w:rPr>
          <w:rFonts w:ascii="Times New Roman" w:hAnsi="Times New Roman" w:cs="Times New Roman"/>
          <w:b/>
          <w:i/>
          <w:sz w:val="28"/>
          <w:szCs w:val="28"/>
        </w:rPr>
        <w:t>в городском округе</w:t>
      </w:r>
      <w:r w:rsidRPr="00EC20F8">
        <w:rPr>
          <w:rFonts w:ascii="Times New Roman" w:hAnsi="Times New Roman" w:cs="Times New Roman"/>
          <w:sz w:val="28"/>
          <w:szCs w:val="28"/>
        </w:rPr>
        <w:t xml:space="preserve">  проживало 52 434 пенсионера, по сравнению с 01.01.2013 их численность увеличилась на 1,88 % (на 968 человек).  После назначения пенсии продолжают работать  26 846 пенсионеров (51,2 % к общей численности пенсионеров), на аналогичную дату предыдущего года – 50,7 % (26 093 человек). </w:t>
      </w:r>
    </w:p>
    <w:p w:rsidR="00663F57" w:rsidRPr="00EC20F8" w:rsidRDefault="00663F57" w:rsidP="00663F57">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Численность пенсионеров, приходящихся на 1 000 человек населения, составила в 2013 году 287 человек, что выше уровня 2012 года – 283 человек.</w:t>
      </w:r>
    </w:p>
    <w:p w:rsidR="00663F57" w:rsidRPr="00EC20F8" w:rsidRDefault="00663F57" w:rsidP="00663F57">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Средний размер назначенных месячн</w:t>
      </w:r>
      <w:r w:rsidR="00DE2F76" w:rsidRPr="00EC20F8">
        <w:rPr>
          <w:rFonts w:ascii="Times New Roman" w:hAnsi="Times New Roman" w:cs="Times New Roman"/>
          <w:sz w:val="28"/>
          <w:szCs w:val="28"/>
        </w:rPr>
        <w:t xml:space="preserve">ых пенсий по городскому округу </w:t>
      </w:r>
      <w:r w:rsidRPr="00EC20F8">
        <w:rPr>
          <w:rFonts w:ascii="Times New Roman" w:hAnsi="Times New Roman" w:cs="Times New Roman"/>
          <w:sz w:val="28"/>
          <w:szCs w:val="28"/>
        </w:rPr>
        <w:t>на 01.01.2014 составил 15 957,2 рублей и относительно аналогичной даты 2012 года номинально вырос на 109,8 %, реальный рост составил на 103,3 %.</w:t>
      </w:r>
    </w:p>
    <w:p w:rsidR="00663F57" w:rsidRPr="00EC20F8" w:rsidRDefault="00663F57" w:rsidP="00663F57">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По данным отделения пенсионного фонда по Камчатскому краю в 2013 году 9 257 пенсионеров, проживающих в городском округе</w:t>
      </w:r>
      <w:r w:rsidR="007C19FC" w:rsidRPr="00EC20F8">
        <w:rPr>
          <w:rFonts w:ascii="Times New Roman" w:hAnsi="Times New Roman" w:cs="Times New Roman"/>
          <w:sz w:val="28"/>
          <w:szCs w:val="28"/>
        </w:rPr>
        <w:t>,</w:t>
      </w:r>
      <w:r w:rsidRPr="00EC20F8">
        <w:rPr>
          <w:rFonts w:ascii="Times New Roman" w:hAnsi="Times New Roman" w:cs="Times New Roman"/>
          <w:sz w:val="28"/>
          <w:szCs w:val="28"/>
        </w:rPr>
        <w:t xml:space="preserve"> имеют пенсию ниже прожиточного минимума.</w:t>
      </w:r>
    </w:p>
    <w:p w:rsidR="00663F57" w:rsidRPr="00EC20F8" w:rsidRDefault="00663F57" w:rsidP="00663F57">
      <w:pPr>
        <w:widowControl w:val="0"/>
        <w:ind w:firstLine="709"/>
        <w:jc w:val="both"/>
        <w:rPr>
          <w:rFonts w:ascii="Times New Roman" w:hAnsi="Times New Roman" w:cs="Times New Roman"/>
          <w:strike/>
          <w:sz w:val="28"/>
          <w:szCs w:val="28"/>
        </w:rPr>
      </w:pPr>
      <w:r w:rsidRPr="00EC20F8">
        <w:rPr>
          <w:rFonts w:ascii="Times New Roman" w:hAnsi="Times New Roman" w:cs="Times New Roman"/>
          <w:sz w:val="28"/>
          <w:szCs w:val="28"/>
        </w:rPr>
        <w:t xml:space="preserve">Федеральным законом от 17.07.1999 № 178-ФЗ «О государственной социальной помощи» с 01.01.2010 предусмотрена социальная доплата к пенсии с учетом денежных выплат и предоставляемых мер социальной поддержки до величины прожиточного минимума в виде денежной суммы. </w:t>
      </w:r>
    </w:p>
    <w:p w:rsidR="007C19FC" w:rsidRPr="00EC20F8" w:rsidRDefault="007C19FC" w:rsidP="007C19FC">
      <w:pPr>
        <w:autoSpaceDE w:val="0"/>
        <w:autoSpaceDN w:val="0"/>
        <w:adjustRightInd w:val="0"/>
        <w:spacing w:line="240" w:lineRule="auto"/>
        <w:ind w:firstLine="540"/>
        <w:jc w:val="both"/>
        <w:rPr>
          <w:rFonts w:ascii="Times New Roman" w:hAnsi="Times New Roman" w:cs="Times New Roman"/>
          <w:sz w:val="28"/>
          <w:szCs w:val="28"/>
        </w:rPr>
      </w:pPr>
      <w:r w:rsidRPr="00EC20F8">
        <w:rPr>
          <w:rFonts w:ascii="Times New Roman" w:hAnsi="Times New Roman" w:cs="Times New Roman"/>
          <w:sz w:val="28"/>
          <w:szCs w:val="28"/>
        </w:rPr>
        <w:t xml:space="preserve">Среднемесячный доход пенсионеров за счет указанных мер доведен до установленной величины прожиточного минимума пенсионера. </w:t>
      </w:r>
    </w:p>
    <w:p w:rsidR="00663F57" w:rsidRPr="00EC20F8" w:rsidRDefault="00663F57" w:rsidP="00663F57">
      <w:pPr>
        <w:autoSpaceDE w:val="0"/>
        <w:autoSpaceDN w:val="0"/>
        <w:adjustRightInd w:val="0"/>
        <w:spacing w:line="240" w:lineRule="auto"/>
        <w:ind w:firstLine="540"/>
        <w:jc w:val="both"/>
        <w:rPr>
          <w:sz w:val="18"/>
          <w:szCs w:val="18"/>
        </w:rPr>
      </w:pPr>
      <w:r w:rsidRPr="00EC20F8">
        <w:rPr>
          <w:rFonts w:ascii="Times New Roman" w:hAnsi="Times New Roman" w:cs="Times New Roman"/>
          <w:sz w:val="28"/>
          <w:szCs w:val="28"/>
        </w:rPr>
        <w:t xml:space="preserve">В соответствии с Решением Городской Думы Петропавловск-Камчатского городского округа от 20.04.2010 № 241-нд «О назначении и выплате ежемесячной доплаты к пенсии лицам, замещавшим муниципальные должности в Петропавловск-Камчатском городском округе, и пенсии за выслугу лет лицам, замещавшим должности муниципальной службы в Петропавловск-Камчатском городском округе» на выплату пенсий в отчетном периоде направлено 6,5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w:t>
      </w:r>
      <w:r w:rsidRPr="00EC20F8">
        <w:rPr>
          <w:sz w:val="18"/>
          <w:szCs w:val="18"/>
        </w:rPr>
        <w:t>.</w:t>
      </w:r>
    </w:p>
    <w:p w:rsidR="00663F57" w:rsidRPr="00EC20F8" w:rsidRDefault="00663F57" w:rsidP="00663F57">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Соотношение среднего размера назначенной месячной пенсии к средней величине прожиточного минимума пенсионера составило в городском округе в 2013 году</w:t>
      </w:r>
      <w:r w:rsidR="00DE2F76" w:rsidRPr="00EC20F8">
        <w:rPr>
          <w:rFonts w:ascii="Times New Roman" w:hAnsi="Times New Roman" w:cs="Times New Roman"/>
          <w:sz w:val="28"/>
          <w:szCs w:val="28"/>
        </w:rPr>
        <w:t xml:space="preserve"> </w:t>
      </w:r>
      <w:r w:rsidRPr="00EC20F8">
        <w:rPr>
          <w:rFonts w:ascii="Times New Roman" w:hAnsi="Times New Roman" w:cs="Times New Roman"/>
          <w:sz w:val="28"/>
          <w:szCs w:val="28"/>
        </w:rPr>
        <w:t>138,5 % (в 2012 году – 133,9 %).</w:t>
      </w:r>
    </w:p>
    <w:p w:rsidR="00663F57" w:rsidRPr="00EC20F8" w:rsidRDefault="00663F57" w:rsidP="00663F57">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По предварительной оценке, в городском округе в 2014 году</w:t>
      </w:r>
      <w:r w:rsidRPr="00EC20F8">
        <w:rPr>
          <w:rFonts w:ascii="Times New Roman" w:hAnsi="Times New Roman" w:cs="Times New Roman"/>
          <w:b/>
          <w:sz w:val="28"/>
          <w:szCs w:val="28"/>
        </w:rPr>
        <w:t xml:space="preserve"> </w:t>
      </w:r>
      <w:r w:rsidRPr="00EC20F8">
        <w:rPr>
          <w:rFonts w:ascii="Times New Roman" w:hAnsi="Times New Roman" w:cs="Times New Roman"/>
          <w:sz w:val="28"/>
          <w:szCs w:val="28"/>
        </w:rPr>
        <w:t xml:space="preserve">реальный размер назначенных пенсий сохранится на уровне 2013 года – 103,4% и в номинальном значении составит по оценке 17 513,7 рублей, увеличившись к уровню 2012 гуда на 109,8 %. </w:t>
      </w:r>
    </w:p>
    <w:p w:rsidR="00663F57" w:rsidRPr="00EC20F8" w:rsidRDefault="00663F57" w:rsidP="00663F57">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Темп роста величины пенсионных выплат  будет опережающим по сравнению с ростом индекса потребительских цен. </w:t>
      </w:r>
      <w:r w:rsidRPr="00EC20F8">
        <w:rPr>
          <w:rFonts w:ascii="Times New Roman" w:hAnsi="Times New Roman" w:cs="Times New Roman"/>
          <w:b/>
          <w:i/>
          <w:sz w:val="28"/>
          <w:szCs w:val="28"/>
        </w:rPr>
        <w:t>Средний размер пенсии в 2017 году</w:t>
      </w:r>
      <w:r w:rsidRPr="00EC20F8">
        <w:rPr>
          <w:rFonts w:ascii="Times New Roman" w:hAnsi="Times New Roman" w:cs="Times New Roman"/>
          <w:sz w:val="28"/>
          <w:szCs w:val="28"/>
        </w:rPr>
        <w:t xml:space="preserve"> в городском округе ожидается на уровне 21 984,86 рублей. Номинальный рост составит 137,8 % к уровню 2013года. </w:t>
      </w:r>
    </w:p>
    <w:p w:rsidR="00663F57" w:rsidRPr="00EC20F8" w:rsidRDefault="00663F57" w:rsidP="00663F57">
      <w:pPr>
        <w:widowControl w:val="0"/>
        <w:autoSpaceDE w:val="0"/>
        <w:autoSpaceDN w:val="0"/>
        <w:adjustRightInd w:val="0"/>
        <w:ind w:firstLine="709"/>
        <w:jc w:val="both"/>
        <w:rPr>
          <w:rFonts w:ascii="Times New Roman" w:hAnsi="Times New Roman" w:cs="Times New Roman"/>
          <w:i/>
          <w:sz w:val="24"/>
          <w:szCs w:val="24"/>
        </w:rPr>
      </w:pPr>
      <w:r w:rsidRPr="00EC20F8">
        <w:rPr>
          <w:rFonts w:ascii="Times New Roman" w:hAnsi="Times New Roman" w:cs="Times New Roman"/>
          <w:b/>
          <w:bCs/>
          <w:i/>
          <w:iCs/>
          <w:sz w:val="28"/>
          <w:szCs w:val="28"/>
        </w:rPr>
        <w:t>Заработная плата</w:t>
      </w:r>
      <w:r w:rsidRPr="00EC20F8">
        <w:rPr>
          <w:rFonts w:ascii="Times New Roman" w:hAnsi="Times New Roman" w:cs="Times New Roman"/>
          <w:sz w:val="28"/>
          <w:szCs w:val="28"/>
        </w:rPr>
        <w:t xml:space="preserve"> является одним из основных источников денежных доходов населения городского округа. По данным статистики за 2013 год, среднемесячная номинальная начисленная заработная плата работников по полному кругу предприятий и организаций составила 51 563,0 рублей, на 12,1 % выше уровня 2012 года и на 6,0 % выше, чем в среднем по Камчатскому краю. Уровень реальной заработной платы составил 105,5 %. </w:t>
      </w:r>
    </w:p>
    <w:p w:rsidR="00663F57" w:rsidRPr="00EC20F8" w:rsidRDefault="00663F57" w:rsidP="00663F57">
      <w:pPr>
        <w:widowControl w:val="0"/>
        <w:autoSpaceDE w:val="0"/>
        <w:autoSpaceDN w:val="0"/>
        <w:adjustRightInd w:val="0"/>
        <w:ind w:firstLine="709"/>
        <w:jc w:val="both"/>
        <w:rPr>
          <w:rFonts w:ascii="Times New Roman" w:eastAsia="T3Font_5" w:hAnsi="Times New Roman" w:cs="Times New Roman"/>
          <w:i/>
          <w:sz w:val="12"/>
          <w:szCs w:val="12"/>
        </w:rPr>
      </w:pPr>
      <w:r w:rsidRPr="00EC20F8">
        <w:rPr>
          <w:rFonts w:ascii="Times New Roman" w:hAnsi="Times New Roman" w:cs="Times New Roman"/>
          <w:sz w:val="28"/>
          <w:szCs w:val="28"/>
        </w:rPr>
        <w:t xml:space="preserve">Средняя номинальная начисленная заработная плата работников крупных и средних предприятий городского округа в 2013 году сложилась на уровне 57 564,0 рублей (112,1 % к уровню предыдущего года). Уровень реальной заработной платы составил 106,9 % (101,8 % в 2011 году). </w:t>
      </w:r>
    </w:p>
    <w:p w:rsidR="00663F57" w:rsidRPr="00EC20F8" w:rsidRDefault="00663F57" w:rsidP="00663F57">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На динамику роста заработной платы повлияло повышен</w:t>
      </w:r>
      <w:r w:rsidR="00DE2F76" w:rsidRPr="00EC20F8">
        <w:rPr>
          <w:rFonts w:ascii="Times New Roman" w:hAnsi="Times New Roman" w:cs="Times New Roman"/>
          <w:sz w:val="28"/>
          <w:szCs w:val="28"/>
        </w:rPr>
        <w:t xml:space="preserve">ие заработной платы работников </w:t>
      </w:r>
      <w:r w:rsidRPr="00EC20F8">
        <w:rPr>
          <w:rFonts w:ascii="Times New Roman" w:hAnsi="Times New Roman" w:cs="Times New Roman"/>
          <w:sz w:val="28"/>
          <w:szCs w:val="28"/>
        </w:rPr>
        <w:t xml:space="preserve">бюджетной сферы. </w:t>
      </w:r>
      <w:proofErr w:type="gramStart"/>
      <w:r w:rsidRPr="00EC20F8">
        <w:rPr>
          <w:rFonts w:ascii="Times New Roman" w:hAnsi="Times New Roman" w:cs="Times New Roman"/>
          <w:sz w:val="28"/>
          <w:szCs w:val="28"/>
        </w:rPr>
        <w:t xml:space="preserve">В целях реализации Указа Президента Российской Федерации от 07.05.2012 </w:t>
      </w:r>
      <w:r w:rsidR="00DE2F76" w:rsidRPr="00EC20F8">
        <w:rPr>
          <w:rFonts w:ascii="Times New Roman" w:hAnsi="Times New Roman" w:cs="Times New Roman"/>
          <w:sz w:val="28"/>
          <w:szCs w:val="28"/>
        </w:rPr>
        <w:t>№</w:t>
      </w:r>
      <w:r w:rsidRPr="00EC20F8">
        <w:rPr>
          <w:rFonts w:ascii="Times New Roman" w:hAnsi="Times New Roman" w:cs="Times New Roman"/>
          <w:sz w:val="28"/>
          <w:szCs w:val="28"/>
        </w:rPr>
        <w:t xml:space="preserve"> 597 </w:t>
      </w:r>
      <w:r w:rsidR="00DE2F76" w:rsidRPr="00EC20F8">
        <w:rPr>
          <w:rFonts w:ascii="Times New Roman" w:hAnsi="Times New Roman" w:cs="Times New Roman"/>
          <w:sz w:val="28"/>
          <w:szCs w:val="28"/>
        </w:rPr>
        <w:t>«</w:t>
      </w:r>
      <w:r w:rsidRPr="00EC20F8">
        <w:rPr>
          <w:rFonts w:ascii="Times New Roman" w:hAnsi="Times New Roman" w:cs="Times New Roman"/>
          <w:sz w:val="28"/>
          <w:szCs w:val="28"/>
        </w:rPr>
        <w:t>О мероприятиях по реализации государственной социальной политики</w:t>
      </w:r>
      <w:r w:rsidR="00DE2F76" w:rsidRPr="00EC20F8">
        <w:rPr>
          <w:rFonts w:ascii="Times New Roman" w:hAnsi="Times New Roman" w:cs="Times New Roman"/>
          <w:sz w:val="28"/>
          <w:szCs w:val="28"/>
        </w:rPr>
        <w:t>»</w:t>
      </w:r>
      <w:r w:rsidRPr="00EC20F8">
        <w:rPr>
          <w:rFonts w:ascii="Times New Roman" w:hAnsi="Times New Roman" w:cs="Times New Roman"/>
          <w:sz w:val="28"/>
          <w:szCs w:val="28"/>
        </w:rPr>
        <w:t xml:space="preserve">, Указа Президента Российской Федерации от 28.12.2012 </w:t>
      </w:r>
      <w:r w:rsidR="00DE2F76" w:rsidRPr="00EC20F8">
        <w:rPr>
          <w:rFonts w:ascii="Times New Roman" w:hAnsi="Times New Roman" w:cs="Times New Roman"/>
          <w:sz w:val="28"/>
          <w:szCs w:val="28"/>
        </w:rPr>
        <w:t>№</w:t>
      </w:r>
      <w:r w:rsidRPr="00EC20F8">
        <w:rPr>
          <w:rFonts w:ascii="Times New Roman" w:hAnsi="Times New Roman" w:cs="Times New Roman"/>
          <w:sz w:val="28"/>
          <w:szCs w:val="28"/>
        </w:rPr>
        <w:t xml:space="preserve"> 1688 </w:t>
      </w:r>
      <w:r w:rsidR="00DE2F76" w:rsidRPr="00EC20F8">
        <w:rPr>
          <w:rFonts w:ascii="Times New Roman" w:hAnsi="Times New Roman" w:cs="Times New Roman"/>
          <w:sz w:val="28"/>
          <w:szCs w:val="28"/>
        </w:rPr>
        <w:t>«</w:t>
      </w:r>
      <w:r w:rsidRPr="00EC20F8">
        <w:rPr>
          <w:rFonts w:ascii="Times New Roman" w:hAnsi="Times New Roman" w:cs="Times New Roman"/>
          <w:sz w:val="28"/>
          <w:szCs w:val="28"/>
        </w:rPr>
        <w:t>О некоторых мерах по реализации государственной политики в сфере защиты детей-сирот и детей, оставшихся без попечения родителей</w:t>
      </w:r>
      <w:r w:rsidR="00DE2F76" w:rsidRPr="00EC20F8">
        <w:rPr>
          <w:rFonts w:ascii="Times New Roman" w:hAnsi="Times New Roman" w:cs="Times New Roman"/>
          <w:sz w:val="28"/>
          <w:szCs w:val="28"/>
        </w:rPr>
        <w:t>»</w:t>
      </w:r>
      <w:r w:rsidRPr="00EC20F8">
        <w:rPr>
          <w:rFonts w:ascii="Times New Roman" w:hAnsi="Times New Roman" w:cs="Times New Roman"/>
          <w:sz w:val="28"/>
          <w:szCs w:val="28"/>
        </w:rPr>
        <w:t xml:space="preserve"> и Указа Президента Российской Федерации от 01.06.2012 </w:t>
      </w:r>
      <w:r w:rsidR="00DE2F76" w:rsidRPr="00EC20F8">
        <w:rPr>
          <w:rFonts w:ascii="Times New Roman" w:hAnsi="Times New Roman" w:cs="Times New Roman"/>
          <w:sz w:val="28"/>
          <w:szCs w:val="28"/>
        </w:rPr>
        <w:t>№</w:t>
      </w:r>
      <w:r w:rsidRPr="00EC20F8">
        <w:rPr>
          <w:rFonts w:ascii="Times New Roman" w:hAnsi="Times New Roman" w:cs="Times New Roman"/>
          <w:sz w:val="28"/>
          <w:szCs w:val="28"/>
        </w:rPr>
        <w:t xml:space="preserve"> 761 </w:t>
      </w:r>
      <w:r w:rsidR="00DE2F76" w:rsidRPr="00EC20F8">
        <w:rPr>
          <w:rFonts w:ascii="Times New Roman" w:hAnsi="Times New Roman" w:cs="Times New Roman"/>
          <w:sz w:val="28"/>
          <w:szCs w:val="28"/>
        </w:rPr>
        <w:t>«</w:t>
      </w:r>
      <w:r w:rsidRPr="00EC20F8">
        <w:rPr>
          <w:rFonts w:ascii="Times New Roman" w:hAnsi="Times New Roman" w:cs="Times New Roman"/>
          <w:sz w:val="28"/>
          <w:szCs w:val="28"/>
        </w:rPr>
        <w:t>О национальной стратегии действий в интересах детей на 2012 - 2017 годы</w:t>
      </w:r>
      <w:proofErr w:type="gramEnd"/>
      <w:r w:rsidR="00DE2F76" w:rsidRPr="00EC20F8">
        <w:rPr>
          <w:rFonts w:ascii="Times New Roman" w:hAnsi="Times New Roman" w:cs="Times New Roman"/>
          <w:sz w:val="28"/>
          <w:szCs w:val="28"/>
        </w:rPr>
        <w:t>»</w:t>
      </w:r>
      <w:r w:rsidRPr="00EC20F8">
        <w:rPr>
          <w:rFonts w:ascii="Times New Roman" w:hAnsi="Times New Roman" w:cs="Times New Roman"/>
          <w:sz w:val="28"/>
          <w:szCs w:val="28"/>
        </w:rPr>
        <w:t xml:space="preserve"> (</w:t>
      </w:r>
      <w:proofErr w:type="gramStart"/>
      <w:r w:rsidRPr="00EC20F8">
        <w:rPr>
          <w:rFonts w:ascii="Times New Roman" w:hAnsi="Times New Roman" w:cs="Times New Roman"/>
          <w:sz w:val="28"/>
          <w:szCs w:val="28"/>
        </w:rPr>
        <w:t xml:space="preserve">далее - Указы Президента) в части повышения оплаты труда в </w:t>
      </w:r>
      <w:r w:rsidRPr="00EC20F8">
        <w:rPr>
          <w:rFonts w:ascii="Times New Roman" w:hAnsi="Times New Roman" w:cs="Times New Roman"/>
          <w:b/>
          <w:i/>
          <w:sz w:val="28"/>
          <w:szCs w:val="28"/>
        </w:rPr>
        <w:t>2013 году</w:t>
      </w:r>
      <w:r w:rsidRPr="00EC20F8">
        <w:rPr>
          <w:rFonts w:ascii="Times New Roman" w:hAnsi="Times New Roman" w:cs="Times New Roman"/>
          <w:sz w:val="28"/>
          <w:szCs w:val="28"/>
        </w:rPr>
        <w:t xml:space="preserve"> в соответствии с постановлением Правительства Камчатского края от 29.11.2012 № 532-П «О мерах по повышению в 2012 и 2013 годах оплаты труда отдельным категориям работников краевых и муниципальных учреждений, финансируемых из краевого бюджета» и Решением Городской Думы Петропавловск-Камчатского городского округа от 04.12.2012 № 4-нд «О бюджете Петропавловск-Камчатского городского округа на 2013</w:t>
      </w:r>
      <w:proofErr w:type="gramEnd"/>
      <w:r w:rsidRPr="00EC20F8">
        <w:rPr>
          <w:rFonts w:ascii="Times New Roman" w:hAnsi="Times New Roman" w:cs="Times New Roman"/>
          <w:sz w:val="28"/>
          <w:szCs w:val="28"/>
        </w:rPr>
        <w:t xml:space="preserve"> </w:t>
      </w:r>
      <w:proofErr w:type="gramStart"/>
      <w:r w:rsidRPr="00EC20F8">
        <w:rPr>
          <w:rFonts w:ascii="Times New Roman" w:hAnsi="Times New Roman" w:cs="Times New Roman"/>
          <w:sz w:val="28"/>
          <w:szCs w:val="28"/>
        </w:rPr>
        <w:t>год и п</w:t>
      </w:r>
      <w:r w:rsidR="00990E00" w:rsidRPr="00EC20F8">
        <w:rPr>
          <w:rFonts w:ascii="Times New Roman" w:hAnsi="Times New Roman" w:cs="Times New Roman"/>
          <w:sz w:val="28"/>
          <w:szCs w:val="28"/>
        </w:rPr>
        <w:t>лановый период 2014-2015 годов»</w:t>
      </w:r>
      <w:r w:rsidRPr="00EC20F8">
        <w:rPr>
          <w:rFonts w:ascii="Times New Roman" w:hAnsi="Times New Roman" w:cs="Times New Roman"/>
          <w:sz w:val="28"/>
          <w:szCs w:val="28"/>
        </w:rPr>
        <w:t xml:space="preserve"> повышена заработная плата отдельным категориям работников краевых государственных учреждений и муниципальных учреждений, финансируемых из краевого бюджета и работникам муниципальных учреждений, финансируемых из бюджета Петропавловск-Камчатского городского округа: педагогических работников образовательных учреждений, реализующих прог</w:t>
      </w:r>
      <w:r w:rsidR="00990E00" w:rsidRPr="00EC20F8">
        <w:rPr>
          <w:rFonts w:ascii="Times New Roman" w:hAnsi="Times New Roman" w:cs="Times New Roman"/>
          <w:sz w:val="28"/>
          <w:szCs w:val="28"/>
        </w:rPr>
        <w:t xml:space="preserve">раммы общего образования; </w:t>
      </w:r>
      <w:r w:rsidRPr="00EC20F8">
        <w:rPr>
          <w:rFonts w:ascii="Times New Roman" w:hAnsi="Times New Roman" w:cs="Times New Roman"/>
          <w:sz w:val="28"/>
          <w:szCs w:val="28"/>
        </w:rPr>
        <w:t>педагогических работников дошкольных образовательных учреждений, реализующих программы дошкольного образования;</w:t>
      </w:r>
      <w:proofErr w:type="gramEnd"/>
      <w:r w:rsidRPr="00EC20F8">
        <w:rPr>
          <w:rFonts w:ascii="Times New Roman" w:hAnsi="Times New Roman" w:cs="Times New Roman"/>
          <w:sz w:val="28"/>
          <w:szCs w:val="28"/>
        </w:rPr>
        <w:t xml:space="preserve"> </w:t>
      </w:r>
      <w:proofErr w:type="gramStart"/>
      <w:r w:rsidRPr="00EC20F8">
        <w:rPr>
          <w:rFonts w:ascii="Times New Roman" w:hAnsi="Times New Roman" w:cs="Times New Roman"/>
          <w:sz w:val="28"/>
          <w:szCs w:val="28"/>
        </w:rPr>
        <w:t>работников культуры; педагогических работников образовательных учреждений доп</w:t>
      </w:r>
      <w:r w:rsidR="00990E00" w:rsidRPr="00EC20F8">
        <w:rPr>
          <w:rFonts w:ascii="Times New Roman" w:hAnsi="Times New Roman" w:cs="Times New Roman"/>
          <w:sz w:val="28"/>
          <w:szCs w:val="28"/>
        </w:rPr>
        <w:t>олнительного образования детей;</w:t>
      </w:r>
      <w:r w:rsidRPr="00EC20F8">
        <w:rPr>
          <w:rFonts w:ascii="Times New Roman" w:hAnsi="Times New Roman" w:cs="Times New Roman"/>
          <w:sz w:val="28"/>
          <w:szCs w:val="28"/>
        </w:rPr>
        <w:t xml:space="preserve"> младшего медицинского персонала, среднего медицинского персонала, врачей и работников медицинских учреждений, имеющих высшее медицинское образование, предоставляющих медицинские услуги.</w:t>
      </w:r>
      <w:proofErr w:type="gramEnd"/>
    </w:p>
    <w:p w:rsidR="00663F57" w:rsidRPr="00EC20F8" w:rsidRDefault="00663F57" w:rsidP="00663F57">
      <w:pPr>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Повышена оплата труда других категорий работников бюджетной сферы: социальных работников, в том числе социальных рабо</w:t>
      </w:r>
      <w:r w:rsidR="00990E00" w:rsidRPr="00EC20F8">
        <w:rPr>
          <w:rFonts w:ascii="Times New Roman" w:hAnsi="Times New Roman" w:cs="Times New Roman"/>
          <w:sz w:val="28"/>
          <w:szCs w:val="28"/>
        </w:rPr>
        <w:t xml:space="preserve">тников медицинских учреждений; </w:t>
      </w:r>
      <w:r w:rsidRPr="00EC20F8">
        <w:rPr>
          <w:rFonts w:ascii="Times New Roman" w:hAnsi="Times New Roman" w:cs="Times New Roman"/>
          <w:sz w:val="28"/>
          <w:szCs w:val="28"/>
        </w:rPr>
        <w:t>преподавателей и мастеров производственного обучения образовательных учреждений начального и среднег</w:t>
      </w:r>
      <w:r w:rsidR="007C19FC" w:rsidRPr="00EC20F8">
        <w:rPr>
          <w:rFonts w:ascii="Times New Roman" w:hAnsi="Times New Roman" w:cs="Times New Roman"/>
          <w:sz w:val="28"/>
          <w:szCs w:val="28"/>
        </w:rPr>
        <w:t>о профессионального образования</w:t>
      </w:r>
      <w:r w:rsidRPr="00EC20F8">
        <w:rPr>
          <w:rFonts w:ascii="Times New Roman" w:hAnsi="Times New Roman" w:cs="Times New Roman"/>
          <w:sz w:val="28"/>
          <w:szCs w:val="28"/>
        </w:rPr>
        <w:t>.</w:t>
      </w:r>
      <w:proofErr w:type="gramEnd"/>
    </w:p>
    <w:p w:rsidR="00663F57" w:rsidRPr="00EC20F8" w:rsidRDefault="00663F57" w:rsidP="00663F57">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Сохраняется высокая межотраслевая дифференциация заработной платы. </w:t>
      </w:r>
      <w:proofErr w:type="gramStart"/>
      <w:r w:rsidRPr="00EC20F8">
        <w:rPr>
          <w:rFonts w:ascii="Times New Roman" w:hAnsi="Times New Roman" w:cs="Times New Roman"/>
          <w:sz w:val="28"/>
          <w:szCs w:val="28"/>
        </w:rPr>
        <w:t>Наибольший уровень заработной платы сложился по виду деятельности добыча полезных ископаемых – 187 197 рублей (в 3,2 раза выше среднего значения), выше среднемесячной сложилась заработная плата в сфере финансового посредничества – 90 624 рубля (1,6 раза), по видам деятельности: государственное управление и обеспечение военной безопасности, обязательное соцобеспечение – 64 660 рублей (1,25 раза), обрабатывающих производствах – 61 160 рублей (в 1,06 раза</w:t>
      </w:r>
      <w:r w:rsidR="007C19FC" w:rsidRPr="00EC20F8">
        <w:rPr>
          <w:rFonts w:ascii="Times New Roman" w:hAnsi="Times New Roman" w:cs="Times New Roman"/>
          <w:sz w:val="28"/>
          <w:szCs w:val="28"/>
        </w:rPr>
        <w:t>)</w:t>
      </w:r>
      <w:r w:rsidRPr="00EC20F8">
        <w:rPr>
          <w:rFonts w:ascii="Times New Roman" w:hAnsi="Times New Roman" w:cs="Times New Roman"/>
          <w:sz w:val="28"/>
          <w:szCs w:val="28"/>
        </w:rPr>
        <w:t>.</w:t>
      </w:r>
      <w:proofErr w:type="gramEnd"/>
    </w:p>
    <w:p w:rsidR="00663F57" w:rsidRPr="00EC20F8" w:rsidRDefault="00663F57" w:rsidP="00663F57">
      <w:pPr>
        <w:widowControl w:val="0"/>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Ниже средней заработная плата работников по отраслям: строительство – 56 186,9 рублей (97,4 % раза), транспорт и связь - 54 718 рублей (95,1 %), производство и распределение электроэнергии, газа и воды – 54 291 рубль (94,3 %), операции с недвижимым имуществом – 52535 рублей (91,3 %), рыболовство и рыбоводство – 49 841 рубль (86,8</w:t>
      </w:r>
      <w:r w:rsidR="00990E00" w:rsidRPr="00EC20F8">
        <w:rPr>
          <w:rFonts w:ascii="Times New Roman" w:hAnsi="Times New Roman" w:cs="Times New Roman"/>
          <w:sz w:val="28"/>
          <w:szCs w:val="28"/>
        </w:rPr>
        <w:t xml:space="preserve"> %), </w:t>
      </w:r>
      <w:r w:rsidRPr="00EC20F8">
        <w:rPr>
          <w:rFonts w:ascii="Times New Roman" w:hAnsi="Times New Roman" w:cs="Times New Roman"/>
          <w:sz w:val="28"/>
          <w:szCs w:val="28"/>
        </w:rPr>
        <w:t>здравоохранение – 49 349 рублей (85,7</w:t>
      </w:r>
      <w:r w:rsidR="00990E00" w:rsidRPr="00EC20F8">
        <w:rPr>
          <w:rFonts w:ascii="Times New Roman" w:hAnsi="Times New Roman" w:cs="Times New Roman"/>
          <w:sz w:val="28"/>
          <w:szCs w:val="28"/>
        </w:rPr>
        <w:t xml:space="preserve"> </w:t>
      </w:r>
      <w:r w:rsidRPr="00EC20F8">
        <w:rPr>
          <w:rFonts w:ascii="Times New Roman" w:hAnsi="Times New Roman" w:cs="Times New Roman"/>
          <w:sz w:val="28"/>
          <w:szCs w:val="28"/>
        </w:rPr>
        <w:t>%), сельское хозяйство – 41 469 рублей (80,8 %), оптовая и розничная торговля</w:t>
      </w:r>
      <w:proofErr w:type="gramEnd"/>
      <w:r w:rsidRPr="00EC20F8">
        <w:rPr>
          <w:rFonts w:ascii="Times New Roman" w:hAnsi="Times New Roman" w:cs="Times New Roman"/>
          <w:sz w:val="28"/>
          <w:szCs w:val="28"/>
        </w:rPr>
        <w:t xml:space="preserve"> – 36 249 рублей (63,1 %), образование – 40 075 рублей (69,6 %), предоставление прочих коммунальных услуг – 44 580 рублей </w:t>
      </w:r>
      <w:r w:rsidR="00990E00" w:rsidRPr="00EC20F8">
        <w:rPr>
          <w:rFonts w:ascii="Times New Roman" w:hAnsi="Times New Roman" w:cs="Times New Roman"/>
          <w:sz w:val="28"/>
          <w:szCs w:val="28"/>
        </w:rPr>
        <w:t xml:space="preserve">    </w:t>
      </w:r>
      <w:r w:rsidRPr="00EC20F8">
        <w:rPr>
          <w:rFonts w:ascii="Times New Roman" w:hAnsi="Times New Roman" w:cs="Times New Roman"/>
          <w:sz w:val="28"/>
          <w:szCs w:val="28"/>
        </w:rPr>
        <w:t>(77,4 %), деятельность гостиниц и ресторанов – 29 097 рублей (50,5 %).</w:t>
      </w:r>
    </w:p>
    <w:p w:rsidR="00663F57" w:rsidRPr="00EC20F8" w:rsidRDefault="00663F57" w:rsidP="00663F57">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Просроченная </w:t>
      </w:r>
      <w:r w:rsidRPr="00EC20F8">
        <w:rPr>
          <w:rFonts w:ascii="Times New Roman" w:hAnsi="Times New Roman" w:cs="Times New Roman"/>
          <w:bCs/>
          <w:iCs/>
          <w:sz w:val="28"/>
          <w:szCs w:val="28"/>
        </w:rPr>
        <w:t>задолженность по заработной плате</w:t>
      </w:r>
      <w:r w:rsidRPr="00EC20F8">
        <w:rPr>
          <w:rFonts w:ascii="Times New Roman" w:hAnsi="Times New Roman" w:cs="Times New Roman"/>
          <w:sz w:val="28"/>
          <w:szCs w:val="28"/>
        </w:rPr>
        <w:t xml:space="preserve"> по состоянию на       </w:t>
      </w:r>
      <w:r w:rsidR="007C19FC" w:rsidRPr="00EC20F8">
        <w:rPr>
          <w:rFonts w:ascii="Times New Roman" w:hAnsi="Times New Roman" w:cs="Times New Roman"/>
          <w:sz w:val="28"/>
          <w:szCs w:val="28"/>
        </w:rPr>
        <w:t>01.01.</w:t>
      </w:r>
      <w:r w:rsidRPr="00EC20F8">
        <w:rPr>
          <w:rFonts w:ascii="Times New Roman" w:hAnsi="Times New Roman" w:cs="Times New Roman"/>
          <w:sz w:val="28"/>
          <w:szCs w:val="28"/>
        </w:rPr>
        <w:t xml:space="preserve">2014 составила 97,2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что выше аналогичного показателя </w:t>
      </w:r>
      <w:r w:rsidR="007C19FC" w:rsidRPr="00EC20F8">
        <w:rPr>
          <w:rFonts w:ascii="Times New Roman" w:hAnsi="Times New Roman" w:cs="Times New Roman"/>
          <w:sz w:val="28"/>
          <w:szCs w:val="28"/>
        </w:rPr>
        <w:t>на 01.01.</w:t>
      </w:r>
      <w:r w:rsidRPr="00EC20F8">
        <w:rPr>
          <w:rFonts w:ascii="Times New Roman" w:hAnsi="Times New Roman" w:cs="Times New Roman"/>
          <w:sz w:val="28"/>
          <w:szCs w:val="28"/>
        </w:rPr>
        <w:t>2013 в 4,3 раза.</w:t>
      </w:r>
    </w:p>
    <w:p w:rsidR="00663F57" w:rsidRPr="00EC20F8" w:rsidRDefault="00663F57" w:rsidP="00663F57">
      <w:pPr>
        <w:widowControl w:val="0"/>
        <w:autoSpaceDE w:val="0"/>
        <w:autoSpaceDN w:val="0"/>
        <w:adjustRightInd w:val="0"/>
        <w:ind w:right="-142"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Задолженность по заработной плате на 100 % образована </w:t>
      </w:r>
      <w:r w:rsidRPr="00EC20F8">
        <w:rPr>
          <w:rFonts w:ascii="Times New Roman" w:hAnsi="Times New Roman" w:cs="Times New Roman"/>
          <w:bCs/>
          <w:iCs/>
          <w:sz w:val="28"/>
          <w:szCs w:val="28"/>
        </w:rPr>
        <w:t>из-за отсутствия собственных сре</w:t>
      </w:r>
      <w:proofErr w:type="gramStart"/>
      <w:r w:rsidRPr="00EC20F8">
        <w:rPr>
          <w:rFonts w:ascii="Times New Roman" w:hAnsi="Times New Roman" w:cs="Times New Roman"/>
          <w:bCs/>
          <w:iCs/>
          <w:sz w:val="28"/>
          <w:szCs w:val="28"/>
        </w:rPr>
        <w:t>дств пр</w:t>
      </w:r>
      <w:proofErr w:type="gramEnd"/>
      <w:r w:rsidRPr="00EC20F8">
        <w:rPr>
          <w:rFonts w:ascii="Times New Roman" w:hAnsi="Times New Roman" w:cs="Times New Roman"/>
          <w:bCs/>
          <w:iCs/>
          <w:sz w:val="28"/>
          <w:szCs w:val="28"/>
        </w:rPr>
        <w:t>едприятий:</w:t>
      </w:r>
      <w:r w:rsidRPr="00EC20F8">
        <w:rPr>
          <w:rFonts w:ascii="Times New Roman" w:hAnsi="Times New Roman" w:cs="Times New Roman"/>
          <w:sz w:val="28"/>
          <w:szCs w:val="28"/>
        </w:rPr>
        <w:t xml:space="preserve"> ОАО «Петропавловская судоверфь» - 13,0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ЗАО НПК «</w:t>
      </w:r>
      <w:proofErr w:type="spellStart"/>
      <w:r w:rsidRPr="00EC20F8">
        <w:rPr>
          <w:rFonts w:ascii="Times New Roman" w:hAnsi="Times New Roman" w:cs="Times New Roman"/>
          <w:sz w:val="28"/>
          <w:szCs w:val="28"/>
        </w:rPr>
        <w:t>Геотехнология</w:t>
      </w:r>
      <w:proofErr w:type="spellEnd"/>
      <w:r w:rsidRPr="00EC20F8">
        <w:rPr>
          <w:rFonts w:ascii="Times New Roman" w:hAnsi="Times New Roman" w:cs="Times New Roman"/>
          <w:sz w:val="28"/>
          <w:szCs w:val="28"/>
        </w:rPr>
        <w:t xml:space="preserve">» - 84,2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Численность работников, перед которыми имеется просроченная задолженность по заработной плате, составляет 689 человек. </w:t>
      </w:r>
    </w:p>
    <w:p w:rsidR="00663F57" w:rsidRPr="00EC20F8" w:rsidRDefault="00663F57" w:rsidP="00663F57">
      <w:pPr>
        <w:ind w:firstLine="720"/>
        <w:jc w:val="both"/>
        <w:rPr>
          <w:rFonts w:ascii="Times New Roman" w:eastAsia="Calibri" w:hAnsi="Times New Roman" w:cs="Times New Roman"/>
          <w:sz w:val="28"/>
          <w:szCs w:val="28"/>
        </w:rPr>
      </w:pPr>
      <w:r w:rsidRPr="00EC20F8">
        <w:rPr>
          <w:rFonts w:ascii="Times New Roman" w:eastAsia="Calibri" w:hAnsi="Times New Roman" w:cs="Times New Roman"/>
          <w:b/>
          <w:i/>
          <w:sz w:val="28"/>
          <w:szCs w:val="28"/>
        </w:rPr>
        <w:t>В 2014 году</w:t>
      </w:r>
      <w:r w:rsidRPr="00EC20F8">
        <w:rPr>
          <w:rFonts w:ascii="Times New Roman" w:eastAsia="Calibri" w:hAnsi="Times New Roman" w:cs="Times New Roman"/>
          <w:sz w:val="28"/>
          <w:szCs w:val="28"/>
        </w:rPr>
        <w:t xml:space="preserve"> повышение оплаты труда работников муниципальных учреждений, финансируемых из бюджета городского округа определено Решением Городской Думы </w:t>
      </w:r>
      <w:proofErr w:type="gramStart"/>
      <w:r w:rsidRPr="00EC20F8">
        <w:rPr>
          <w:rFonts w:ascii="Times New Roman" w:eastAsia="Calibri" w:hAnsi="Times New Roman" w:cs="Times New Roman"/>
          <w:sz w:val="28"/>
          <w:szCs w:val="28"/>
        </w:rPr>
        <w:t>Петропавловск-Камчатского</w:t>
      </w:r>
      <w:proofErr w:type="gramEnd"/>
      <w:r w:rsidRPr="00EC20F8">
        <w:rPr>
          <w:rFonts w:ascii="Times New Roman" w:eastAsia="Calibri" w:hAnsi="Times New Roman" w:cs="Times New Roman"/>
          <w:sz w:val="28"/>
          <w:szCs w:val="28"/>
        </w:rPr>
        <w:t xml:space="preserve"> городского округа от 25.12.2013 № 372-р «О бюджете Петропавловск-Камчатского городского округа на 2014 год и плановый период 2015-2016 годов».</w:t>
      </w:r>
    </w:p>
    <w:p w:rsidR="00663F57" w:rsidRPr="00EC20F8" w:rsidRDefault="00663F57" w:rsidP="00663F57">
      <w:pPr>
        <w:ind w:firstLine="720"/>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Предусмотрено увеличение  фонда заработной платы</w:t>
      </w:r>
      <w:r w:rsidRPr="00EC20F8">
        <w:rPr>
          <w:rFonts w:ascii="Times New Roman" w:hAnsi="Times New Roman" w:cs="Times New Roman"/>
          <w:sz w:val="28"/>
          <w:szCs w:val="28"/>
        </w:rPr>
        <w:t xml:space="preserve"> с 1 января 2014 года</w:t>
      </w:r>
      <w:r w:rsidRPr="00EC20F8">
        <w:rPr>
          <w:rFonts w:ascii="Times New Roman" w:eastAsia="Calibri" w:hAnsi="Times New Roman" w:cs="Times New Roman"/>
          <w:sz w:val="28"/>
          <w:szCs w:val="28"/>
        </w:rPr>
        <w:t>:</w:t>
      </w:r>
    </w:p>
    <w:p w:rsidR="00663F57" w:rsidRPr="00EC20F8" w:rsidRDefault="00663F57" w:rsidP="00663F57">
      <w:pPr>
        <w:widowControl w:val="0"/>
        <w:suppressAutoHyphens/>
        <w:autoSpaceDE w:val="0"/>
        <w:autoSpaceDN w:val="0"/>
        <w:adjustRightInd w:val="0"/>
        <w:ind w:firstLine="709"/>
        <w:jc w:val="both"/>
        <w:rPr>
          <w:rFonts w:ascii="Times New Roman" w:hAnsi="Times New Roman" w:cs="Times New Roman"/>
          <w:sz w:val="28"/>
          <w:szCs w:val="28"/>
        </w:rPr>
      </w:pPr>
      <w:r w:rsidRPr="00EC20F8">
        <w:rPr>
          <w:rFonts w:ascii="Times New Roman" w:hAnsi="Times New Roman" w:cs="Times New Roman"/>
          <w:sz w:val="28"/>
          <w:szCs w:val="28"/>
        </w:rPr>
        <w:t>- в части оплаты труда педагогических работников образовательных учреждений, реализующих программы общего образования - на 6,5 %;</w:t>
      </w:r>
    </w:p>
    <w:p w:rsidR="00663F57" w:rsidRPr="00EC20F8" w:rsidRDefault="00663F57" w:rsidP="00663F57">
      <w:pPr>
        <w:widowControl w:val="0"/>
        <w:suppressAutoHyphens/>
        <w:autoSpaceDE w:val="0"/>
        <w:autoSpaceDN w:val="0"/>
        <w:adjustRightInd w:val="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 в части оплаты труда педагогических работников дошкольных образовательных учреждений, реализующих программы дошкольного образования, социальных работников учреждений социальной защиты населения -  на 15,0 %;</w:t>
      </w:r>
    </w:p>
    <w:p w:rsidR="00663F57" w:rsidRPr="00EC20F8" w:rsidRDefault="00663F57" w:rsidP="00663F57">
      <w:pPr>
        <w:widowControl w:val="0"/>
        <w:suppressAutoHyphens/>
        <w:autoSpaceDE w:val="0"/>
        <w:autoSpaceDN w:val="0"/>
        <w:adjustRightInd w:val="0"/>
        <w:ind w:firstLine="709"/>
        <w:jc w:val="both"/>
        <w:rPr>
          <w:rFonts w:ascii="Times New Roman" w:hAnsi="Times New Roman" w:cs="Times New Roman"/>
          <w:sz w:val="28"/>
          <w:szCs w:val="28"/>
        </w:rPr>
      </w:pPr>
      <w:r w:rsidRPr="00EC20F8">
        <w:rPr>
          <w:rFonts w:ascii="Times New Roman" w:hAnsi="Times New Roman" w:cs="Times New Roman"/>
          <w:sz w:val="28"/>
          <w:szCs w:val="28"/>
        </w:rPr>
        <w:t>- в части оплаты труда работников учреждений культуры, врачей, среднего медицинского персонала, младшего медицинского персонала - на 10,0 %;</w:t>
      </w:r>
    </w:p>
    <w:p w:rsidR="00663F57" w:rsidRPr="00EC20F8" w:rsidRDefault="00663F57" w:rsidP="00663F57">
      <w:pPr>
        <w:widowControl w:val="0"/>
        <w:suppressAutoHyphens/>
        <w:autoSpaceDE w:val="0"/>
        <w:autoSpaceDN w:val="0"/>
        <w:adjustRightInd w:val="0"/>
        <w:ind w:firstLine="709"/>
        <w:jc w:val="both"/>
        <w:rPr>
          <w:rFonts w:ascii="Times New Roman" w:hAnsi="Times New Roman" w:cs="Times New Roman"/>
          <w:sz w:val="28"/>
          <w:szCs w:val="28"/>
        </w:rPr>
      </w:pPr>
      <w:r w:rsidRPr="00EC20F8">
        <w:rPr>
          <w:rFonts w:ascii="Times New Roman" w:hAnsi="Times New Roman" w:cs="Times New Roman"/>
          <w:sz w:val="28"/>
          <w:szCs w:val="28"/>
        </w:rPr>
        <w:t>- в части оплаты труда педагогических работников образовательных учреждений, оказывающих социальные услуги детям-сиротам и детям, оставшимся без попечения родителей - на 10,0 %.</w:t>
      </w:r>
    </w:p>
    <w:p w:rsidR="00663F57" w:rsidRPr="00EC20F8" w:rsidRDefault="00663F57" w:rsidP="00663F57">
      <w:pPr>
        <w:ind w:firstLine="720"/>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Указанные средства будут направлены на увеличение размеров основных окладов, на увеличение выплат стимулирующего характера, а также на обеспечение начисления месячной заработной платы работников, полностью отработавших за этот период норму рабочего времени и выполнивших нормы труда (трудовые обязанности), в размере не ниже размера минимальной заработной платы, установленной в Камчатском крае. </w:t>
      </w:r>
      <w:proofErr w:type="gramEnd"/>
    </w:p>
    <w:p w:rsidR="00663F57" w:rsidRPr="00EC20F8" w:rsidRDefault="00663F57" w:rsidP="00663F57">
      <w:pPr>
        <w:widowControl w:val="0"/>
        <w:ind w:firstLine="709"/>
        <w:jc w:val="both"/>
        <w:rPr>
          <w:rFonts w:ascii="Times New Roman" w:hAnsi="Times New Roman" w:cs="Times New Roman"/>
          <w:b/>
          <w:sz w:val="28"/>
          <w:szCs w:val="28"/>
        </w:rPr>
      </w:pPr>
      <w:r w:rsidRPr="00EC20F8">
        <w:rPr>
          <w:rFonts w:ascii="Times New Roman" w:hAnsi="Times New Roman" w:cs="Times New Roman"/>
          <w:sz w:val="28"/>
          <w:szCs w:val="28"/>
        </w:rPr>
        <w:t xml:space="preserve">Определены этапы и размеры </w:t>
      </w:r>
      <w:proofErr w:type="gramStart"/>
      <w:r w:rsidRPr="00EC20F8">
        <w:rPr>
          <w:rFonts w:ascii="Times New Roman" w:hAnsi="Times New Roman" w:cs="Times New Roman"/>
          <w:sz w:val="28"/>
          <w:szCs w:val="28"/>
        </w:rPr>
        <w:t>повышения оплаты труда работников бюджетной сферы городского округа</w:t>
      </w:r>
      <w:proofErr w:type="gramEnd"/>
      <w:r w:rsidRPr="00EC20F8">
        <w:rPr>
          <w:rFonts w:ascii="Times New Roman" w:hAnsi="Times New Roman" w:cs="Times New Roman"/>
          <w:sz w:val="28"/>
          <w:szCs w:val="28"/>
        </w:rPr>
        <w:t xml:space="preserve"> до 2017 года.</w:t>
      </w:r>
    </w:p>
    <w:p w:rsidR="00663F57" w:rsidRPr="00EC20F8" w:rsidRDefault="00663F57" w:rsidP="00663F57">
      <w:pPr>
        <w:widowControl w:val="0"/>
        <w:ind w:firstLine="709"/>
        <w:jc w:val="both"/>
        <w:rPr>
          <w:rFonts w:ascii="Times New Roman" w:hAnsi="Times New Roman" w:cs="Times New Roman"/>
          <w:sz w:val="28"/>
          <w:szCs w:val="28"/>
        </w:rPr>
      </w:pPr>
      <w:proofErr w:type="gramStart"/>
      <w:r w:rsidRPr="00EC20F8">
        <w:rPr>
          <w:rFonts w:ascii="Times New Roman" w:hAnsi="Times New Roman" w:cs="Times New Roman"/>
          <w:b/>
          <w:i/>
          <w:sz w:val="28"/>
          <w:szCs w:val="28"/>
        </w:rPr>
        <w:t>По оценке, в 2014 году</w:t>
      </w:r>
      <w:r w:rsidRPr="00EC20F8">
        <w:rPr>
          <w:rFonts w:ascii="Times New Roman" w:hAnsi="Times New Roman" w:cs="Times New Roman"/>
          <w:b/>
          <w:bCs/>
          <w:sz w:val="28"/>
          <w:szCs w:val="28"/>
        </w:rPr>
        <w:t xml:space="preserve"> </w:t>
      </w:r>
      <w:r w:rsidRPr="00EC20F8">
        <w:rPr>
          <w:rFonts w:ascii="Times New Roman" w:hAnsi="Times New Roman" w:cs="Times New Roman"/>
          <w:sz w:val="28"/>
          <w:szCs w:val="28"/>
        </w:rPr>
        <w:t>среднегодовая начисленная заработная плата работников всех организаций городского округа составит 55 204,4 рублей (по Камчатскому краю - 52 063,0</w:t>
      </w:r>
      <w:r w:rsidRPr="00EC20F8">
        <w:t xml:space="preserve"> </w:t>
      </w:r>
      <w:r w:rsidRPr="00EC20F8">
        <w:rPr>
          <w:rFonts w:ascii="Times New Roman" w:hAnsi="Times New Roman" w:cs="Times New Roman"/>
          <w:sz w:val="28"/>
          <w:szCs w:val="28"/>
        </w:rPr>
        <w:t>рубля), рост ее номинального значения ожидается на уровне 107,1 %. Наиболее высокий рост заработной платы ожидается в таких сферах как финансовая деятельность, производство и распределение электроэнергии, газа и воды, государственное управление, образование, здравоохранение.</w:t>
      </w:r>
      <w:proofErr w:type="gramEnd"/>
    </w:p>
    <w:p w:rsidR="00663F57" w:rsidRPr="00EC20F8" w:rsidRDefault="00663F57" w:rsidP="00663F57">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b/>
          <w:i/>
          <w:sz w:val="28"/>
          <w:szCs w:val="28"/>
        </w:rPr>
        <w:t>В 2015-2017</w:t>
      </w:r>
      <w:r w:rsidRPr="00EC20F8">
        <w:rPr>
          <w:rFonts w:ascii="Times New Roman" w:hAnsi="Times New Roman" w:cs="Times New Roman"/>
          <w:sz w:val="28"/>
          <w:szCs w:val="28"/>
        </w:rPr>
        <w:t xml:space="preserve"> годах в городском округе прогнозируется дальнейший рост заработной платы.</w:t>
      </w:r>
    </w:p>
    <w:p w:rsidR="00663F57" w:rsidRPr="00EC20F8" w:rsidRDefault="00663F57" w:rsidP="00663F57">
      <w:pPr>
        <w:widowControl w:val="0"/>
        <w:autoSpaceDE w:val="0"/>
        <w:autoSpaceDN w:val="0"/>
        <w:adjustRightInd w:val="0"/>
        <w:ind w:firstLine="709"/>
        <w:jc w:val="both"/>
        <w:rPr>
          <w:rFonts w:ascii="Times New Roman" w:hAnsi="Times New Roman" w:cs="Times New Roman"/>
          <w:sz w:val="28"/>
          <w:szCs w:val="28"/>
        </w:rPr>
      </w:pPr>
      <w:r w:rsidRPr="00EC20F8">
        <w:rPr>
          <w:rFonts w:ascii="Times New Roman" w:hAnsi="Times New Roman" w:cs="Times New Roman"/>
          <w:sz w:val="28"/>
          <w:szCs w:val="28"/>
        </w:rPr>
        <w:t>Д</w:t>
      </w:r>
      <w:r w:rsidRPr="00EC20F8">
        <w:rPr>
          <w:rFonts w:ascii="Times New Roman" w:eastAsia="T3Font_5" w:hAnsi="Times New Roman" w:cs="Times New Roman"/>
          <w:sz w:val="28"/>
          <w:szCs w:val="28"/>
        </w:rPr>
        <w:t xml:space="preserve">инамика реальной заработной платы и номинальной </w:t>
      </w:r>
      <w:r w:rsidRPr="00EC20F8">
        <w:rPr>
          <w:rFonts w:ascii="Times New Roman" w:hAnsi="Times New Roman" w:cs="Times New Roman"/>
          <w:sz w:val="28"/>
          <w:szCs w:val="28"/>
        </w:rPr>
        <w:t>начисленной заработной платы работников организаций представлена  на рисунке 8.1.:</w:t>
      </w:r>
    </w:p>
    <w:p w:rsidR="00663F57" w:rsidRPr="00EC20F8" w:rsidRDefault="00663F57" w:rsidP="00663F57">
      <w:pPr>
        <w:widowControl w:val="0"/>
        <w:autoSpaceDE w:val="0"/>
        <w:autoSpaceDN w:val="0"/>
        <w:adjustRightInd w:val="0"/>
        <w:ind w:firstLine="709"/>
        <w:jc w:val="both"/>
        <w:rPr>
          <w:rFonts w:ascii="Times New Roman" w:hAnsi="Times New Roman" w:cs="Times New Roman"/>
          <w:sz w:val="12"/>
          <w:szCs w:val="12"/>
        </w:rPr>
      </w:pPr>
    </w:p>
    <w:p w:rsidR="00663F57" w:rsidRPr="00EC20F8" w:rsidRDefault="00663F57" w:rsidP="00663F57">
      <w:pPr>
        <w:widowControl w:val="0"/>
        <w:autoSpaceDE w:val="0"/>
        <w:autoSpaceDN w:val="0"/>
        <w:adjustRightInd w:val="0"/>
        <w:ind w:firstLine="426"/>
        <w:jc w:val="both"/>
        <w:rPr>
          <w:rFonts w:ascii="Times New Roman" w:hAnsi="Times New Roman" w:cs="Times New Roman"/>
          <w:sz w:val="28"/>
          <w:szCs w:val="28"/>
        </w:rPr>
      </w:pPr>
      <w:r w:rsidRPr="00EC20F8">
        <w:rPr>
          <w:rFonts w:ascii="Times New Roman" w:hAnsi="Times New Roman" w:cs="Times New Roman"/>
          <w:noProof/>
          <w:sz w:val="28"/>
          <w:szCs w:val="28"/>
          <w:bdr w:val="single" w:sz="4" w:space="0" w:color="auto"/>
          <w:lang w:eastAsia="ru-RU"/>
        </w:rPr>
        <w:drawing>
          <wp:inline distT="0" distB="0" distL="0" distR="0">
            <wp:extent cx="5248275" cy="3343275"/>
            <wp:effectExtent l="0" t="0" r="0" b="0"/>
            <wp:docPr id="31" name="Диаграмма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663F57" w:rsidRPr="00EC20F8" w:rsidRDefault="00663F57" w:rsidP="00663F57">
      <w:pPr>
        <w:widowControl w:val="0"/>
        <w:autoSpaceDE w:val="0"/>
        <w:autoSpaceDN w:val="0"/>
        <w:adjustRightInd w:val="0"/>
        <w:ind w:firstLine="709"/>
        <w:jc w:val="both"/>
        <w:rPr>
          <w:rFonts w:ascii="Times New Roman" w:hAnsi="Times New Roman" w:cs="Times New Roman"/>
          <w:sz w:val="12"/>
          <w:szCs w:val="12"/>
        </w:rPr>
      </w:pPr>
    </w:p>
    <w:p w:rsidR="00663F57" w:rsidRPr="00EC20F8" w:rsidRDefault="00663F57" w:rsidP="00663F57">
      <w:pPr>
        <w:widowControl w:val="0"/>
        <w:autoSpaceDE w:val="0"/>
        <w:autoSpaceDN w:val="0"/>
        <w:adjustRightInd w:val="0"/>
        <w:ind w:firstLine="709"/>
        <w:jc w:val="center"/>
        <w:rPr>
          <w:rFonts w:ascii="Times New Roman" w:hAnsi="Times New Roman" w:cs="Times New Roman"/>
          <w:i/>
          <w:sz w:val="24"/>
          <w:szCs w:val="24"/>
        </w:rPr>
      </w:pPr>
      <w:r w:rsidRPr="00EC20F8">
        <w:rPr>
          <w:rFonts w:ascii="Times New Roman" w:hAnsi="Times New Roman" w:cs="Times New Roman"/>
          <w:i/>
          <w:sz w:val="24"/>
          <w:szCs w:val="24"/>
        </w:rPr>
        <w:t>Рис. 8.1. Д</w:t>
      </w:r>
      <w:r w:rsidRPr="00EC20F8">
        <w:rPr>
          <w:rFonts w:ascii="Times New Roman" w:eastAsia="T3Font_5" w:hAnsi="Times New Roman" w:cs="Times New Roman"/>
          <w:i/>
          <w:sz w:val="24"/>
          <w:szCs w:val="24"/>
        </w:rPr>
        <w:t xml:space="preserve">инамика реальной заработной платы и номинальной </w:t>
      </w:r>
      <w:r w:rsidRPr="00EC20F8">
        <w:rPr>
          <w:rFonts w:ascii="Times New Roman" w:hAnsi="Times New Roman" w:cs="Times New Roman"/>
          <w:i/>
          <w:sz w:val="24"/>
          <w:szCs w:val="24"/>
        </w:rPr>
        <w:t>начисленной заработной платы работников организаций</w:t>
      </w:r>
    </w:p>
    <w:p w:rsidR="00663F57" w:rsidRPr="00EC20F8" w:rsidRDefault="00663F57" w:rsidP="00663F57">
      <w:pPr>
        <w:widowControl w:val="0"/>
        <w:spacing w:line="240" w:lineRule="auto"/>
        <w:ind w:firstLine="709"/>
        <w:jc w:val="both"/>
        <w:rPr>
          <w:rFonts w:ascii="Times New Roman" w:hAnsi="Times New Roman" w:cs="Times New Roman"/>
          <w:sz w:val="28"/>
          <w:szCs w:val="28"/>
        </w:rPr>
      </w:pPr>
    </w:p>
    <w:p w:rsidR="00663F57" w:rsidRPr="00EC20F8" w:rsidRDefault="00663F57" w:rsidP="00663F57">
      <w:pPr>
        <w:widowControl w:val="0"/>
        <w:tabs>
          <w:tab w:val="left" w:pos="3600"/>
        </w:tabs>
        <w:ind w:firstLine="709"/>
        <w:jc w:val="both"/>
        <w:rPr>
          <w:rFonts w:ascii="Times New Roman" w:hAnsi="Times New Roman" w:cs="Times New Roman"/>
          <w:sz w:val="28"/>
          <w:szCs w:val="28"/>
        </w:rPr>
      </w:pPr>
      <w:r w:rsidRPr="00EC20F8">
        <w:rPr>
          <w:rFonts w:ascii="Times New Roman" w:hAnsi="Times New Roman" w:cs="Times New Roman"/>
          <w:sz w:val="28"/>
          <w:szCs w:val="28"/>
        </w:rPr>
        <w:t>Ожидается, что темпы роста среднемесячной зара</w:t>
      </w:r>
      <w:r w:rsidR="00990E00" w:rsidRPr="00EC20F8">
        <w:rPr>
          <w:rFonts w:ascii="Times New Roman" w:hAnsi="Times New Roman" w:cs="Times New Roman"/>
          <w:sz w:val="28"/>
          <w:szCs w:val="28"/>
        </w:rPr>
        <w:t>ботной платы в городском округе</w:t>
      </w:r>
      <w:r w:rsidRPr="00EC20F8">
        <w:rPr>
          <w:rFonts w:ascii="Times New Roman" w:hAnsi="Times New Roman" w:cs="Times New Roman"/>
          <w:sz w:val="28"/>
          <w:szCs w:val="28"/>
        </w:rPr>
        <w:t xml:space="preserve"> в 2015-2017 годах будут опережать темпы инфляции.</w:t>
      </w:r>
    </w:p>
    <w:p w:rsidR="00663F57" w:rsidRPr="00EC20F8" w:rsidRDefault="00663F57" w:rsidP="00663F57">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Рост заработной платы бюджетников будет обеспечиваться реализацией комплекса мер в соответствии с Указами Президента. Повышение заработной платы отдельных категорий работников бюджетной сферы, планируется осуществлять  поэтапно:</w:t>
      </w:r>
    </w:p>
    <w:p w:rsidR="00663F57" w:rsidRPr="00EC20F8" w:rsidRDefault="00663F57" w:rsidP="00663F57">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с 1 января 2015 года – на </w:t>
      </w:r>
      <w:r w:rsidR="00C30621" w:rsidRPr="00EC20F8">
        <w:rPr>
          <w:rFonts w:ascii="Times New Roman" w:hAnsi="Times New Roman" w:cs="Times New Roman"/>
          <w:sz w:val="28"/>
          <w:szCs w:val="28"/>
        </w:rPr>
        <w:t>7,4</w:t>
      </w:r>
      <w:r w:rsidRPr="00EC20F8">
        <w:rPr>
          <w:rFonts w:ascii="Times New Roman" w:hAnsi="Times New Roman" w:cs="Times New Roman"/>
          <w:sz w:val="28"/>
          <w:szCs w:val="28"/>
        </w:rPr>
        <w:t xml:space="preserve"> %;</w:t>
      </w:r>
    </w:p>
    <w:p w:rsidR="00663F57" w:rsidRPr="00EC20F8" w:rsidRDefault="00663F57" w:rsidP="00663F57">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с 1 января 2016 года – на 12,0 %.</w:t>
      </w:r>
    </w:p>
    <w:p w:rsidR="00663F57" w:rsidRPr="00EC20F8" w:rsidRDefault="00663F57" w:rsidP="00663F57">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Заработная платы прочих ра</w:t>
      </w:r>
      <w:r w:rsidR="00990E00" w:rsidRPr="00EC20F8">
        <w:rPr>
          <w:rFonts w:ascii="Times New Roman" w:hAnsi="Times New Roman" w:cs="Times New Roman"/>
          <w:sz w:val="28"/>
          <w:szCs w:val="28"/>
        </w:rPr>
        <w:t xml:space="preserve">ботников бюджетной сферы будет </w:t>
      </w:r>
      <w:r w:rsidRPr="00EC20F8">
        <w:rPr>
          <w:rFonts w:ascii="Times New Roman" w:hAnsi="Times New Roman" w:cs="Times New Roman"/>
          <w:sz w:val="28"/>
          <w:szCs w:val="28"/>
        </w:rPr>
        <w:t>проиндексирована:</w:t>
      </w:r>
    </w:p>
    <w:p w:rsidR="00663F57" w:rsidRPr="00EC20F8" w:rsidRDefault="00663F57" w:rsidP="00663F57">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с 1 января 2015 года – на </w:t>
      </w:r>
      <w:r w:rsidR="00C30621" w:rsidRPr="00EC20F8">
        <w:rPr>
          <w:rFonts w:ascii="Times New Roman" w:hAnsi="Times New Roman" w:cs="Times New Roman"/>
          <w:sz w:val="28"/>
          <w:szCs w:val="28"/>
        </w:rPr>
        <w:t>7,4</w:t>
      </w:r>
      <w:r w:rsidRPr="00EC20F8">
        <w:rPr>
          <w:rFonts w:ascii="Times New Roman" w:hAnsi="Times New Roman" w:cs="Times New Roman"/>
          <w:sz w:val="28"/>
          <w:szCs w:val="28"/>
        </w:rPr>
        <w:t xml:space="preserve"> %;</w:t>
      </w:r>
    </w:p>
    <w:p w:rsidR="00663F57" w:rsidRPr="00EC20F8" w:rsidRDefault="00663F57" w:rsidP="00663F57">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с 1 января 2016 года – на 5,9 %.</w:t>
      </w:r>
    </w:p>
    <w:p w:rsidR="00663F57" w:rsidRPr="00EC20F8" w:rsidRDefault="00663F57" w:rsidP="00663F57">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Для снижения напряженности бюджетов Камчатского края и </w:t>
      </w:r>
      <w:proofErr w:type="gramStart"/>
      <w:r w:rsidRPr="00EC20F8">
        <w:rPr>
          <w:rFonts w:ascii="Times New Roman" w:hAnsi="Times New Roman" w:cs="Times New Roman"/>
          <w:sz w:val="28"/>
          <w:szCs w:val="28"/>
        </w:rPr>
        <w:t>Петропавловск-Камчатского</w:t>
      </w:r>
      <w:proofErr w:type="gramEnd"/>
      <w:r w:rsidRPr="00EC20F8">
        <w:rPr>
          <w:rFonts w:ascii="Times New Roman" w:hAnsi="Times New Roman" w:cs="Times New Roman"/>
          <w:sz w:val="28"/>
          <w:szCs w:val="28"/>
        </w:rPr>
        <w:t xml:space="preserve"> округа в 2017 году индексацию заработной платы работников бюджетной сферы на данном этапе не планируется проводить. </w:t>
      </w:r>
    </w:p>
    <w:p w:rsidR="00663F57" w:rsidRPr="00EC20F8" w:rsidRDefault="00663F57" w:rsidP="00663F57">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Увеличение </w:t>
      </w:r>
      <w:proofErr w:type="gramStart"/>
      <w:r w:rsidRPr="00EC20F8">
        <w:rPr>
          <w:rFonts w:ascii="Times New Roman" w:hAnsi="Times New Roman" w:cs="Times New Roman"/>
          <w:sz w:val="28"/>
          <w:szCs w:val="28"/>
        </w:rPr>
        <w:t>оплаты труда работников бюджетной сферы</w:t>
      </w:r>
      <w:proofErr w:type="gramEnd"/>
      <w:r w:rsidRPr="00EC20F8">
        <w:rPr>
          <w:rFonts w:ascii="Times New Roman" w:hAnsi="Times New Roman" w:cs="Times New Roman"/>
          <w:sz w:val="28"/>
          <w:szCs w:val="28"/>
        </w:rPr>
        <w:t xml:space="preserve"> будет осуществляться, в том числе, за счет повышения эффективности их деятельности.</w:t>
      </w:r>
    </w:p>
    <w:p w:rsidR="00663F57" w:rsidRPr="00EC20F8" w:rsidRDefault="00663F57" w:rsidP="00663F57">
      <w:pPr>
        <w:widowControl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К 2017 году </w:t>
      </w:r>
      <w:proofErr w:type="gramStart"/>
      <w:r w:rsidRPr="00EC20F8">
        <w:rPr>
          <w:rFonts w:ascii="Times New Roman" w:hAnsi="Times New Roman" w:cs="Times New Roman"/>
          <w:sz w:val="28"/>
          <w:szCs w:val="28"/>
        </w:rPr>
        <w:t>заработная плата, выплачиваемая работникам организаций городского округа  составит</w:t>
      </w:r>
      <w:proofErr w:type="gramEnd"/>
      <w:r w:rsidRPr="00EC20F8">
        <w:rPr>
          <w:rFonts w:ascii="Times New Roman" w:hAnsi="Times New Roman" w:cs="Times New Roman"/>
          <w:sz w:val="28"/>
          <w:szCs w:val="28"/>
        </w:rPr>
        <w:t xml:space="preserve"> 63 814,8 рублей. Её рост к уровню средней заработной платы 2013 года составит по перво</w:t>
      </w:r>
      <w:r w:rsidR="00990E00" w:rsidRPr="00EC20F8">
        <w:rPr>
          <w:rFonts w:ascii="Times New Roman" w:hAnsi="Times New Roman" w:cs="Times New Roman"/>
          <w:sz w:val="28"/>
          <w:szCs w:val="28"/>
        </w:rPr>
        <w:t>му варианту 127,5 %, по второму</w:t>
      </w:r>
      <w:r w:rsidRPr="00EC20F8">
        <w:rPr>
          <w:rFonts w:ascii="Times New Roman" w:hAnsi="Times New Roman" w:cs="Times New Roman"/>
          <w:sz w:val="28"/>
          <w:szCs w:val="28"/>
        </w:rPr>
        <w:t xml:space="preserve"> - 129,3 %. </w:t>
      </w:r>
    </w:p>
    <w:p w:rsidR="00207AE1" w:rsidRPr="00EC20F8" w:rsidRDefault="00207AE1" w:rsidP="000663EB">
      <w:pPr>
        <w:pStyle w:val="1"/>
      </w:pPr>
      <w:bookmarkStart w:id="78" w:name="_Toc368988887"/>
      <w:bookmarkStart w:id="79" w:name="_Toc400529670"/>
    </w:p>
    <w:p w:rsidR="00C30621" w:rsidRPr="00EC20F8" w:rsidRDefault="00C30621" w:rsidP="000663EB">
      <w:pPr>
        <w:pStyle w:val="1"/>
      </w:pPr>
    </w:p>
    <w:p w:rsidR="000663EB" w:rsidRPr="00EC20F8" w:rsidRDefault="000663EB" w:rsidP="000663EB">
      <w:pPr>
        <w:pStyle w:val="1"/>
      </w:pPr>
      <w:r w:rsidRPr="00EC20F8">
        <w:t>9. Инфляция, индекс потребительских цен</w:t>
      </w:r>
      <w:bookmarkEnd w:id="78"/>
      <w:bookmarkEnd w:id="79"/>
    </w:p>
    <w:p w:rsidR="000663EB" w:rsidRPr="00EC20F8" w:rsidRDefault="000663EB" w:rsidP="000663EB">
      <w:pPr>
        <w:widowControl w:val="0"/>
        <w:spacing w:line="240" w:lineRule="auto"/>
        <w:ind w:firstLine="709"/>
        <w:jc w:val="both"/>
        <w:rPr>
          <w:rFonts w:ascii="Times New Roman" w:eastAsia="Calibri" w:hAnsi="Times New Roman" w:cs="Times New Roman"/>
          <w:sz w:val="24"/>
          <w:szCs w:val="24"/>
        </w:rPr>
      </w:pPr>
    </w:p>
    <w:p w:rsidR="000663EB" w:rsidRPr="00EC20F8" w:rsidRDefault="000663EB" w:rsidP="000663EB">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За 2013 год цены на потребительские товары и тарифы на услуги населению в Камчатском крае выросли на 6,27 %, что ниже на 0,2 </w:t>
      </w:r>
      <w:r w:rsidR="00FA7827" w:rsidRPr="00EC20F8">
        <w:rPr>
          <w:rFonts w:ascii="Times New Roman" w:hAnsi="Times New Roman" w:cs="Times New Roman"/>
          <w:sz w:val="28"/>
          <w:szCs w:val="28"/>
        </w:rPr>
        <w:t>%</w:t>
      </w:r>
      <w:r w:rsidRPr="00EC20F8">
        <w:rPr>
          <w:rFonts w:ascii="Times New Roman" w:hAnsi="Times New Roman" w:cs="Times New Roman"/>
          <w:sz w:val="28"/>
          <w:szCs w:val="28"/>
        </w:rPr>
        <w:t xml:space="preserve"> общероссийского показателя. Рост  ИПЦ относительно декабря 2012 года составил 0,7 </w:t>
      </w:r>
      <w:r w:rsidR="00FA7827" w:rsidRPr="00EC20F8">
        <w:rPr>
          <w:rFonts w:ascii="Times New Roman" w:hAnsi="Times New Roman" w:cs="Times New Roman"/>
          <w:sz w:val="28"/>
          <w:szCs w:val="28"/>
        </w:rPr>
        <w:t>%</w:t>
      </w:r>
      <w:r w:rsidRPr="00EC20F8">
        <w:rPr>
          <w:rFonts w:ascii="Times New Roman" w:hAnsi="Times New Roman" w:cs="Times New Roman"/>
          <w:sz w:val="28"/>
          <w:szCs w:val="28"/>
        </w:rPr>
        <w:t>.</w:t>
      </w:r>
    </w:p>
    <w:p w:rsidR="000663EB" w:rsidRPr="00EC20F8" w:rsidRDefault="000663EB" w:rsidP="000663EB">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Среднегодовой сводный индекс потребительских цен в Камчатском крае за 2013 год сложился на уровне 106,3 %, что на 1,6 </w:t>
      </w:r>
      <w:r w:rsidR="00FA7827" w:rsidRPr="00EC20F8">
        <w:rPr>
          <w:rFonts w:ascii="Times New Roman" w:hAnsi="Times New Roman" w:cs="Times New Roman"/>
          <w:sz w:val="28"/>
          <w:szCs w:val="28"/>
        </w:rPr>
        <w:t>%</w:t>
      </w:r>
      <w:r w:rsidRPr="00EC20F8">
        <w:rPr>
          <w:rFonts w:ascii="Times New Roman" w:hAnsi="Times New Roman" w:cs="Times New Roman"/>
          <w:sz w:val="28"/>
          <w:szCs w:val="28"/>
        </w:rPr>
        <w:t xml:space="preserve"> выше показателя 2012 года по краю, и на 0,5 </w:t>
      </w:r>
      <w:r w:rsidR="00FA7827" w:rsidRPr="00EC20F8">
        <w:rPr>
          <w:rFonts w:ascii="Times New Roman" w:hAnsi="Times New Roman" w:cs="Times New Roman"/>
          <w:sz w:val="28"/>
          <w:szCs w:val="28"/>
        </w:rPr>
        <w:t>%</w:t>
      </w:r>
      <w:r w:rsidRPr="00EC20F8">
        <w:rPr>
          <w:rFonts w:ascii="Times New Roman" w:hAnsi="Times New Roman" w:cs="Times New Roman"/>
          <w:sz w:val="28"/>
          <w:szCs w:val="28"/>
        </w:rPr>
        <w:t xml:space="preserve"> ниже </w:t>
      </w:r>
      <w:proofErr w:type="spellStart"/>
      <w:r w:rsidRPr="00EC20F8">
        <w:rPr>
          <w:rFonts w:ascii="Times New Roman" w:hAnsi="Times New Roman" w:cs="Times New Roman"/>
          <w:sz w:val="28"/>
          <w:szCs w:val="28"/>
        </w:rPr>
        <w:t>среднероссийского</w:t>
      </w:r>
      <w:proofErr w:type="spellEnd"/>
      <w:r w:rsidRPr="00EC20F8">
        <w:rPr>
          <w:rFonts w:ascii="Times New Roman" w:hAnsi="Times New Roman" w:cs="Times New Roman"/>
          <w:sz w:val="28"/>
          <w:szCs w:val="28"/>
        </w:rPr>
        <w:t xml:space="preserve"> показателя.  </w:t>
      </w:r>
    </w:p>
    <w:p w:rsidR="000663EB" w:rsidRPr="00EC20F8" w:rsidRDefault="000663EB" w:rsidP="000663EB">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Среднемесячная динамика ИПЦ в регионе характеризуется колебаниями показателя в пределах 0,4 % </w:t>
      </w:r>
      <w:r w:rsidR="0009546A" w:rsidRPr="00EC20F8">
        <w:rPr>
          <w:rFonts w:ascii="Times New Roman" w:hAnsi="Times New Roman" w:cs="Times New Roman"/>
          <w:sz w:val="28"/>
          <w:szCs w:val="28"/>
        </w:rPr>
        <w:t>(</w:t>
      </w:r>
      <w:r w:rsidRPr="00EC20F8">
        <w:rPr>
          <w:rFonts w:ascii="Times New Roman" w:hAnsi="Times New Roman" w:cs="Times New Roman"/>
          <w:sz w:val="28"/>
          <w:szCs w:val="28"/>
        </w:rPr>
        <w:t xml:space="preserve">с одним пиком роста в августе - </w:t>
      </w:r>
      <w:r w:rsidR="00990E00" w:rsidRPr="00EC20F8">
        <w:rPr>
          <w:rFonts w:ascii="Times New Roman" w:hAnsi="Times New Roman" w:cs="Times New Roman"/>
          <w:sz w:val="28"/>
          <w:szCs w:val="28"/>
        </w:rPr>
        <w:t>1,8 %, обусловленным повышением</w:t>
      </w:r>
      <w:r w:rsidRPr="00EC20F8">
        <w:rPr>
          <w:rFonts w:ascii="Times New Roman" w:hAnsi="Times New Roman" w:cs="Times New Roman"/>
          <w:sz w:val="28"/>
          <w:szCs w:val="28"/>
        </w:rPr>
        <w:t xml:space="preserve"> стоимости жилищно-коммунальных услуг для населения и ростом услуг по снабжению электроэнергией</w:t>
      </w:r>
      <w:r w:rsidR="0009546A" w:rsidRPr="00EC20F8">
        <w:rPr>
          <w:rFonts w:ascii="Times New Roman" w:hAnsi="Times New Roman" w:cs="Times New Roman"/>
          <w:sz w:val="28"/>
          <w:szCs w:val="28"/>
        </w:rPr>
        <w:t>)</w:t>
      </w:r>
      <w:r w:rsidRPr="00EC20F8">
        <w:rPr>
          <w:rFonts w:ascii="Times New Roman" w:hAnsi="Times New Roman" w:cs="Times New Roman"/>
          <w:sz w:val="28"/>
          <w:szCs w:val="28"/>
        </w:rPr>
        <w:t>.</w:t>
      </w:r>
    </w:p>
    <w:p w:rsidR="000663EB" w:rsidRPr="00EC20F8" w:rsidRDefault="000663EB" w:rsidP="000663EB">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Прирост ИПЦ в декабре 2013 к декабрю 2012 года на продовольственные товары составил 6,5 %, что выше уровня потребительской инфляции за это же время </w:t>
      </w:r>
      <w:r w:rsidR="0009546A" w:rsidRPr="00EC20F8">
        <w:rPr>
          <w:rFonts w:ascii="Times New Roman" w:hAnsi="Times New Roman" w:cs="Times New Roman"/>
          <w:sz w:val="28"/>
          <w:szCs w:val="28"/>
        </w:rPr>
        <w:t xml:space="preserve">2012 года </w:t>
      </w:r>
      <w:r w:rsidRPr="00EC20F8">
        <w:rPr>
          <w:rFonts w:ascii="Times New Roman" w:hAnsi="Times New Roman" w:cs="Times New Roman"/>
          <w:sz w:val="28"/>
          <w:szCs w:val="28"/>
        </w:rPr>
        <w:t xml:space="preserve">на 0,2 </w:t>
      </w:r>
      <w:r w:rsidR="00FA7827" w:rsidRPr="00EC20F8">
        <w:rPr>
          <w:rFonts w:ascii="Times New Roman" w:hAnsi="Times New Roman" w:cs="Times New Roman"/>
          <w:sz w:val="28"/>
          <w:szCs w:val="28"/>
        </w:rPr>
        <w:t>%</w:t>
      </w:r>
      <w:r w:rsidRPr="00EC20F8">
        <w:rPr>
          <w:rFonts w:ascii="Times New Roman" w:hAnsi="Times New Roman" w:cs="Times New Roman"/>
          <w:sz w:val="28"/>
          <w:szCs w:val="28"/>
        </w:rPr>
        <w:t xml:space="preserve">. </w:t>
      </w:r>
    </w:p>
    <w:p w:rsidR="000663EB" w:rsidRPr="00EC20F8" w:rsidRDefault="000663EB" w:rsidP="000663EB">
      <w:pPr>
        <w:widowControl w:val="0"/>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На продовольственном рынке Камчатского края в 2013 году заметно выросли цены на капусту белокочанную свежую – 50,2 %, свеклу столовую – 35 %, молоко питьевое цельное  стерилизованное 2,5-3,2% жирности – 27 %, рис шлифованный – 26 %, морковь – 24,4  %. В течение 2013 года снизились потребительские цены на мясо кур (кроме куриных </w:t>
      </w:r>
      <w:proofErr w:type="spellStart"/>
      <w:r w:rsidRPr="00EC20F8">
        <w:rPr>
          <w:rFonts w:ascii="Times New Roman" w:hAnsi="Times New Roman" w:cs="Times New Roman"/>
          <w:sz w:val="28"/>
          <w:szCs w:val="28"/>
        </w:rPr>
        <w:t>окорочков</w:t>
      </w:r>
      <w:proofErr w:type="spellEnd"/>
      <w:r w:rsidRPr="00EC20F8">
        <w:rPr>
          <w:rFonts w:ascii="Times New Roman" w:hAnsi="Times New Roman" w:cs="Times New Roman"/>
          <w:sz w:val="28"/>
          <w:szCs w:val="28"/>
        </w:rPr>
        <w:t>) – 14,7 %, рыбу мороженую разделанную лососевых пород – 13,9 %, кофе натуральное в зернах и молотое - 5,9 %, баранину</w:t>
      </w:r>
      <w:proofErr w:type="gramEnd"/>
      <w:r w:rsidRPr="00EC20F8">
        <w:rPr>
          <w:rFonts w:ascii="Times New Roman" w:hAnsi="Times New Roman" w:cs="Times New Roman"/>
          <w:sz w:val="28"/>
          <w:szCs w:val="28"/>
        </w:rPr>
        <w:t xml:space="preserve"> (кроме бескостного мяса) – 4,5%, крупу </w:t>
      </w:r>
      <w:proofErr w:type="spellStart"/>
      <w:proofErr w:type="gramStart"/>
      <w:r w:rsidRPr="00EC20F8">
        <w:rPr>
          <w:rFonts w:ascii="Times New Roman" w:hAnsi="Times New Roman" w:cs="Times New Roman"/>
          <w:sz w:val="28"/>
          <w:szCs w:val="28"/>
        </w:rPr>
        <w:t>гречневую-ядрицу</w:t>
      </w:r>
      <w:proofErr w:type="spellEnd"/>
      <w:proofErr w:type="gramEnd"/>
      <w:r w:rsidRPr="00EC20F8">
        <w:rPr>
          <w:rFonts w:ascii="Times New Roman" w:hAnsi="Times New Roman" w:cs="Times New Roman"/>
          <w:sz w:val="28"/>
          <w:szCs w:val="28"/>
        </w:rPr>
        <w:t xml:space="preserve"> – 2,6%. </w:t>
      </w:r>
    </w:p>
    <w:p w:rsidR="000663EB" w:rsidRPr="00EC20F8" w:rsidRDefault="000663EB" w:rsidP="000663EB">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Рост ИПЦ на непродовольственные товары составил в декабре 2013 года относи</w:t>
      </w:r>
      <w:r w:rsidR="00990E00" w:rsidRPr="00EC20F8">
        <w:rPr>
          <w:rFonts w:ascii="Times New Roman" w:hAnsi="Times New Roman" w:cs="Times New Roman"/>
          <w:sz w:val="28"/>
          <w:szCs w:val="28"/>
        </w:rPr>
        <w:t xml:space="preserve">тельно декабря 2012 года - 5,6 </w:t>
      </w:r>
      <w:r w:rsidRPr="00EC20F8">
        <w:rPr>
          <w:rFonts w:ascii="Times New Roman" w:hAnsi="Times New Roman" w:cs="Times New Roman"/>
          <w:sz w:val="28"/>
          <w:szCs w:val="28"/>
        </w:rPr>
        <w:t>%. Наиболее заме</w:t>
      </w:r>
      <w:r w:rsidR="00990E00" w:rsidRPr="00EC20F8">
        <w:rPr>
          <w:rFonts w:ascii="Times New Roman" w:hAnsi="Times New Roman" w:cs="Times New Roman"/>
          <w:sz w:val="28"/>
          <w:szCs w:val="28"/>
        </w:rPr>
        <w:t>тно в 2013 году выросли цены на</w:t>
      </w:r>
      <w:r w:rsidRPr="00EC20F8">
        <w:rPr>
          <w:rFonts w:ascii="Times New Roman" w:hAnsi="Times New Roman" w:cs="Times New Roman"/>
          <w:sz w:val="28"/>
          <w:szCs w:val="28"/>
        </w:rPr>
        <w:t xml:space="preserve"> табачные изд</w:t>
      </w:r>
      <w:r w:rsidR="00990E00" w:rsidRPr="00EC20F8">
        <w:rPr>
          <w:rFonts w:ascii="Times New Roman" w:hAnsi="Times New Roman" w:cs="Times New Roman"/>
          <w:sz w:val="28"/>
          <w:szCs w:val="28"/>
        </w:rPr>
        <w:t xml:space="preserve">елия – 34,2 </w:t>
      </w:r>
      <w:r w:rsidRPr="00EC20F8">
        <w:rPr>
          <w:rFonts w:ascii="Times New Roman" w:hAnsi="Times New Roman" w:cs="Times New Roman"/>
          <w:sz w:val="28"/>
          <w:szCs w:val="28"/>
        </w:rPr>
        <w:t>%, печатные издания – 9,8 %, нефтепродукты – 8,9 %, белье постельное – 8,8 %, медикаменты - 6,2 %.</w:t>
      </w:r>
    </w:p>
    <w:p w:rsidR="000663EB" w:rsidRPr="00EC20F8" w:rsidRDefault="000663EB" w:rsidP="000663EB">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В 2013 году цены на платные услуги в среднем выросли по отношению к декабрю 2012 года на 6,8  %, что связано с удорожанием цен на услуги правового характера – 36,3 %, услуги в сфере зарубежного туризма – 24 %,  услуги дошкольного воспитания – 19,3 %, медицинские услуги – 14,3 %</w:t>
      </w:r>
      <w:r w:rsidR="0009546A" w:rsidRPr="00EC20F8">
        <w:rPr>
          <w:rFonts w:ascii="Times New Roman" w:hAnsi="Times New Roman" w:cs="Times New Roman"/>
          <w:sz w:val="28"/>
          <w:szCs w:val="28"/>
        </w:rPr>
        <w:t>.</w:t>
      </w:r>
    </w:p>
    <w:p w:rsidR="000663EB" w:rsidRPr="00EC20F8" w:rsidRDefault="000663EB" w:rsidP="000663EB">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Среднегодовой рост цен </w:t>
      </w:r>
      <w:r w:rsidRPr="00EC20F8">
        <w:rPr>
          <w:rFonts w:ascii="Times New Roman" w:hAnsi="Times New Roman" w:cs="Times New Roman"/>
          <w:b/>
          <w:i/>
          <w:sz w:val="28"/>
          <w:szCs w:val="28"/>
        </w:rPr>
        <w:t>в 2014 году</w:t>
      </w:r>
      <w:r w:rsidR="00990E00" w:rsidRPr="00EC20F8">
        <w:rPr>
          <w:rFonts w:ascii="Times New Roman" w:hAnsi="Times New Roman" w:cs="Times New Roman"/>
          <w:sz w:val="28"/>
          <w:szCs w:val="28"/>
        </w:rPr>
        <w:t xml:space="preserve"> </w:t>
      </w:r>
      <w:r w:rsidRPr="00EC20F8">
        <w:rPr>
          <w:rFonts w:ascii="Times New Roman" w:hAnsi="Times New Roman" w:cs="Times New Roman"/>
          <w:sz w:val="28"/>
          <w:szCs w:val="28"/>
        </w:rPr>
        <w:t xml:space="preserve">ожидается на уровне 105,7 %, что ниже прогнозируемого показателя по Российской Федерации на                                     1 </w:t>
      </w:r>
      <w:r w:rsidR="00FA7827" w:rsidRPr="00EC20F8">
        <w:rPr>
          <w:rFonts w:ascii="Times New Roman" w:hAnsi="Times New Roman" w:cs="Times New Roman"/>
          <w:sz w:val="28"/>
          <w:szCs w:val="28"/>
        </w:rPr>
        <w:t>%</w:t>
      </w:r>
      <w:r w:rsidRPr="00EC20F8">
        <w:rPr>
          <w:rFonts w:ascii="Times New Roman" w:hAnsi="Times New Roman" w:cs="Times New Roman"/>
          <w:sz w:val="28"/>
          <w:szCs w:val="28"/>
        </w:rPr>
        <w:t>, а декабрь к декабрю – 105,6  %, что ниже</w:t>
      </w:r>
      <w:r w:rsidR="00990E00" w:rsidRPr="00EC20F8">
        <w:rPr>
          <w:rFonts w:ascii="Times New Roman" w:hAnsi="Times New Roman" w:cs="Times New Roman"/>
          <w:sz w:val="28"/>
          <w:szCs w:val="28"/>
        </w:rPr>
        <w:t xml:space="preserve"> прогнозируемого показателя по </w:t>
      </w:r>
      <w:r w:rsidRPr="00EC20F8">
        <w:rPr>
          <w:rFonts w:ascii="Times New Roman" w:hAnsi="Times New Roman" w:cs="Times New Roman"/>
          <w:sz w:val="28"/>
          <w:szCs w:val="28"/>
        </w:rPr>
        <w:t xml:space="preserve">Российской Федерации на 0,4 </w:t>
      </w:r>
      <w:r w:rsidR="00FA7827" w:rsidRPr="00EC20F8">
        <w:rPr>
          <w:rFonts w:ascii="Times New Roman" w:hAnsi="Times New Roman" w:cs="Times New Roman"/>
          <w:sz w:val="28"/>
          <w:szCs w:val="28"/>
        </w:rPr>
        <w:t>%</w:t>
      </w:r>
      <w:r w:rsidRPr="00EC20F8">
        <w:rPr>
          <w:rFonts w:ascii="Times New Roman" w:hAnsi="Times New Roman" w:cs="Times New Roman"/>
          <w:sz w:val="28"/>
          <w:szCs w:val="28"/>
        </w:rPr>
        <w:t>.</w:t>
      </w:r>
    </w:p>
    <w:p w:rsidR="000663EB" w:rsidRPr="00EC20F8" w:rsidRDefault="000663EB" w:rsidP="000663EB">
      <w:pPr>
        <w:widowControl w:val="0"/>
        <w:ind w:firstLine="709"/>
        <w:jc w:val="both"/>
        <w:rPr>
          <w:rFonts w:ascii="Times New Roman" w:hAnsi="Times New Roman" w:cs="Times New Roman"/>
          <w:sz w:val="28"/>
          <w:szCs w:val="28"/>
        </w:rPr>
      </w:pPr>
      <w:r w:rsidRPr="00EC20F8">
        <w:rPr>
          <w:rFonts w:ascii="Times New Roman" w:hAnsi="Times New Roman" w:cs="Times New Roman"/>
          <w:b/>
          <w:i/>
          <w:sz w:val="28"/>
          <w:szCs w:val="28"/>
        </w:rPr>
        <w:t>Прогноз индексов потребительских цен</w:t>
      </w:r>
      <w:r w:rsidRPr="00EC20F8">
        <w:rPr>
          <w:rFonts w:ascii="Times New Roman" w:hAnsi="Times New Roman" w:cs="Times New Roman"/>
          <w:sz w:val="28"/>
          <w:szCs w:val="28"/>
        </w:rPr>
        <w:t xml:space="preserve"> в Камчатском крае на 2015-2017 годы выполнен с учетом среднегодовых темпов роста, исходя из сценарных условий прогноза социально-экономического развития Российской Федерации и на основании фактических региональных </w:t>
      </w:r>
      <w:proofErr w:type="gramStart"/>
      <w:r w:rsidRPr="00EC20F8">
        <w:rPr>
          <w:rFonts w:ascii="Times New Roman" w:hAnsi="Times New Roman" w:cs="Times New Roman"/>
          <w:sz w:val="28"/>
          <w:szCs w:val="28"/>
        </w:rPr>
        <w:t>показателей среднемесячных поквартальных темпов роста инфляции</w:t>
      </w:r>
      <w:proofErr w:type="gramEnd"/>
      <w:r w:rsidRPr="00EC20F8">
        <w:rPr>
          <w:rFonts w:ascii="Times New Roman" w:hAnsi="Times New Roman" w:cs="Times New Roman"/>
          <w:sz w:val="28"/>
          <w:szCs w:val="28"/>
        </w:rPr>
        <w:t xml:space="preserve"> за предшествующий трехлетний период. </w:t>
      </w:r>
    </w:p>
    <w:p w:rsidR="000663EB" w:rsidRPr="00EC20F8" w:rsidRDefault="000663EB" w:rsidP="000663EB">
      <w:pPr>
        <w:widowControl w:val="0"/>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По основному варианту оценки учтены ценовые факторы, определяемые спецификой региональной экономики, которая не предусматривает резких структурных и качественных изменений на потребительском рынке. </w:t>
      </w:r>
      <w:proofErr w:type="gramEnd"/>
    </w:p>
    <w:p w:rsidR="000663EB" w:rsidRPr="00EC20F8" w:rsidRDefault="000663EB" w:rsidP="000663EB">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В 2015 - 2017 годах среднегодовой рост цен по первому варианту оценивается</w:t>
      </w:r>
      <w:r w:rsidR="00990E00" w:rsidRPr="00EC20F8">
        <w:rPr>
          <w:rFonts w:ascii="Times New Roman" w:hAnsi="Times New Roman" w:cs="Times New Roman"/>
          <w:sz w:val="28"/>
          <w:szCs w:val="28"/>
        </w:rPr>
        <w:t xml:space="preserve"> в 105,9 %, 105,3 % и 105,3 </w:t>
      </w:r>
      <w:r w:rsidRPr="00EC20F8">
        <w:rPr>
          <w:rFonts w:ascii="Times New Roman" w:hAnsi="Times New Roman" w:cs="Times New Roman"/>
          <w:sz w:val="28"/>
          <w:szCs w:val="28"/>
        </w:rPr>
        <w:t xml:space="preserve">% соответственно. </w:t>
      </w:r>
    </w:p>
    <w:p w:rsidR="000663EB" w:rsidRPr="00EC20F8" w:rsidRDefault="000663EB" w:rsidP="000663EB">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Рост цен декабря к декабрю предыдущего года оценивается в 2014 году на уровне 105,6%. В 2015 году </w:t>
      </w:r>
      <w:r w:rsidR="00990E00" w:rsidRPr="00EC20F8">
        <w:rPr>
          <w:rFonts w:ascii="Times New Roman" w:hAnsi="Times New Roman" w:cs="Times New Roman"/>
          <w:sz w:val="28"/>
          <w:szCs w:val="28"/>
        </w:rPr>
        <w:t xml:space="preserve">этот показатель составит 105,8 %, в 2016 году – 105,5 % и 2017 году –105, 2 </w:t>
      </w:r>
      <w:r w:rsidRPr="00EC20F8">
        <w:rPr>
          <w:rFonts w:ascii="Times New Roman" w:hAnsi="Times New Roman" w:cs="Times New Roman"/>
          <w:sz w:val="28"/>
          <w:szCs w:val="28"/>
        </w:rPr>
        <w:t>%.</w:t>
      </w:r>
    </w:p>
    <w:p w:rsidR="000663EB" w:rsidRPr="00EC20F8" w:rsidRDefault="000663EB" w:rsidP="000663EB">
      <w:pPr>
        <w:widowControl w:val="0"/>
        <w:ind w:firstLine="709"/>
        <w:jc w:val="both"/>
        <w:rPr>
          <w:rFonts w:ascii="Times New Roman" w:hAnsi="Times New Roman" w:cs="Times New Roman"/>
          <w:sz w:val="28"/>
          <w:szCs w:val="28"/>
        </w:rPr>
      </w:pPr>
      <w:r w:rsidRPr="00EC20F8">
        <w:rPr>
          <w:rFonts w:ascii="Times New Roman" w:hAnsi="Times New Roman" w:cs="Times New Roman"/>
          <w:sz w:val="28"/>
          <w:szCs w:val="28"/>
        </w:rPr>
        <w:t>По второму варианту прогноза среднегодовой рост цен оцениваетс</w:t>
      </w:r>
      <w:r w:rsidR="00990E00" w:rsidRPr="00EC20F8">
        <w:rPr>
          <w:rFonts w:ascii="Times New Roman" w:hAnsi="Times New Roman" w:cs="Times New Roman"/>
          <w:sz w:val="28"/>
          <w:szCs w:val="28"/>
        </w:rPr>
        <w:t xml:space="preserve">я в 105,7 % в 2015 году, 105,3 % в 2016 году и 105,2 </w:t>
      </w:r>
      <w:r w:rsidRPr="00EC20F8">
        <w:rPr>
          <w:rFonts w:ascii="Times New Roman" w:hAnsi="Times New Roman" w:cs="Times New Roman"/>
          <w:sz w:val="28"/>
          <w:szCs w:val="28"/>
        </w:rPr>
        <w:t>% в 2017 году.</w:t>
      </w:r>
    </w:p>
    <w:p w:rsidR="000663EB" w:rsidRPr="00EC20F8" w:rsidRDefault="000663EB" w:rsidP="000663EB">
      <w:pPr>
        <w:pStyle w:val="1"/>
        <w:rPr>
          <w:sz w:val="24"/>
          <w:szCs w:val="24"/>
        </w:rPr>
      </w:pPr>
    </w:p>
    <w:p w:rsidR="000663EB" w:rsidRPr="00EC20F8" w:rsidRDefault="000663EB" w:rsidP="000663EB">
      <w:pPr>
        <w:pStyle w:val="1"/>
      </w:pPr>
      <w:bookmarkStart w:id="80" w:name="_Toc368930206"/>
      <w:bookmarkStart w:id="81" w:name="_Toc368930830"/>
      <w:bookmarkStart w:id="82" w:name="_Toc368988888"/>
      <w:bookmarkStart w:id="83" w:name="_Toc400529671"/>
      <w:r w:rsidRPr="00EC20F8">
        <w:t>10. Поддержка и развитие малого и среднего предпринимательства</w:t>
      </w:r>
      <w:bookmarkEnd w:id="80"/>
      <w:bookmarkEnd w:id="81"/>
      <w:bookmarkEnd w:id="82"/>
      <w:bookmarkEnd w:id="83"/>
    </w:p>
    <w:p w:rsidR="000663EB" w:rsidRPr="00EC20F8" w:rsidRDefault="000663EB" w:rsidP="000663EB">
      <w:pPr>
        <w:autoSpaceDE w:val="0"/>
        <w:autoSpaceDN w:val="0"/>
        <w:adjustRightInd w:val="0"/>
        <w:spacing w:line="240" w:lineRule="auto"/>
        <w:ind w:firstLine="709"/>
        <w:jc w:val="center"/>
        <w:outlineLvl w:val="2"/>
        <w:rPr>
          <w:rFonts w:ascii="Times New Roman" w:hAnsi="Times New Roman" w:cs="Times New Roman"/>
        </w:rPr>
      </w:pPr>
    </w:p>
    <w:p w:rsidR="000663EB" w:rsidRPr="00EC20F8" w:rsidRDefault="000663EB" w:rsidP="000663EB">
      <w:pPr>
        <w:spacing w:line="240" w:lineRule="auto"/>
        <w:ind w:firstLine="709"/>
        <w:jc w:val="both"/>
        <w:rPr>
          <w:rFonts w:ascii="Times New Roman" w:hAnsi="Times New Roman"/>
          <w:sz w:val="28"/>
          <w:szCs w:val="28"/>
        </w:rPr>
      </w:pPr>
      <w:r w:rsidRPr="00EC20F8">
        <w:rPr>
          <w:rFonts w:ascii="Times New Roman" w:hAnsi="Times New Roman"/>
          <w:sz w:val="28"/>
          <w:szCs w:val="28"/>
        </w:rPr>
        <w:t>Основным направлен</w:t>
      </w:r>
      <w:r w:rsidR="00990E00" w:rsidRPr="00EC20F8">
        <w:rPr>
          <w:rFonts w:ascii="Times New Roman" w:hAnsi="Times New Roman"/>
          <w:sz w:val="28"/>
          <w:szCs w:val="28"/>
        </w:rPr>
        <w:t xml:space="preserve">ием развития малого и среднего </w:t>
      </w:r>
      <w:r w:rsidRPr="00EC20F8">
        <w:rPr>
          <w:rFonts w:ascii="Times New Roman" w:hAnsi="Times New Roman"/>
          <w:sz w:val="28"/>
          <w:szCs w:val="28"/>
        </w:rPr>
        <w:t>предпринимательства в среднесрочный период является создание условий для развития малого и среднего бизнеса.</w:t>
      </w:r>
    </w:p>
    <w:p w:rsidR="000663EB" w:rsidRPr="00EC20F8" w:rsidRDefault="000663EB" w:rsidP="000663EB">
      <w:pPr>
        <w:widowControl w:val="0"/>
        <w:spacing w:line="240" w:lineRule="auto"/>
        <w:ind w:firstLine="709"/>
        <w:jc w:val="both"/>
        <w:rPr>
          <w:rFonts w:ascii="Times New Roman" w:hAnsi="Times New Roman"/>
          <w:sz w:val="28"/>
          <w:szCs w:val="28"/>
        </w:rPr>
      </w:pPr>
      <w:r w:rsidRPr="00EC20F8">
        <w:rPr>
          <w:rFonts w:ascii="Times New Roman" w:hAnsi="Times New Roman"/>
          <w:sz w:val="28"/>
          <w:szCs w:val="28"/>
        </w:rPr>
        <w:t xml:space="preserve">По состоянию на 01.01.2014 года количество хозяйствующих субъектов малого и среднего предпринимательства составило 3 553 единицы, из них 22 средних предприятия, 3 531 малых и микропредприятий, </w:t>
      </w:r>
      <w:r w:rsidRPr="00EC20F8">
        <w:rPr>
          <w:rFonts w:ascii="Times New Roman" w:hAnsi="Times New Roman"/>
          <w:bCs/>
          <w:sz w:val="28"/>
          <w:szCs w:val="28"/>
        </w:rPr>
        <w:t>7938 индивидуальных</w:t>
      </w:r>
      <w:r w:rsidRPr="00EC20F8">
        <w:rPr>
          <w:rFonts w:ascii="Times New Roman" w:hAnsi="Times New Roman"/>
          <w:sz w:val="28"/>
          <w:szCs w:val="28"/>
        </w:rPr>
        <w:t xml:space="preserve"> предпринимателей. Численность занятых в малом и среднем предпринимательстве составила 21,1 % от общей численности работников всех предприятий и организаций городского округа</w:t>
      </w:r>
      <w:r w:rsidRPr="00EC20F8">
        <w:rPr>
          <w:rFonts w:ascii="Times New Roman" w:hAnsi="Times New Roman"/>
          <w:spacing w:val="2"/>
          <w:sz w:val="28"/>
          <w:szCs w:val="28"/>
        </w:rPr>
        <w:t>.</w:t>
      </w:r>
      <w:r w:rsidRPr="00EC20F8">
        <w:rPr>
          <w:rFonts w:ascii="Times New Roman" w:hAnsi="Times New Roman"/>
          <w:sz w:val="28"/>
          <w:szCs w:val="28"/>
        </w:rPr>
        <w:t xml:space="preserve"> </w:t>
      </w:r>
    </w:p>
    <w:p w:rsidR="000663EB" w:rsidRPr="00EC20F8" w:rsidRDefault="000663EB" w:rsidP="000663EB">
      <w:pPr>
        <w:widowControl w:val="0"/>
        <w:shd w:val="clear" w:color="auto" w:fill="FFFFFF"/>
        <w:tabs>
          <w:tab w:val="left" w:pos="567"/>
        </w:tabs>
        <w:snapToGrid w:val="0"/>
        <w:ind w:right="-41" w:firstLine="709"/>
        <w:jc w:val="both"/>
        <w:rPr>
          <w:rFonts w:ascii="Times New Roman" w:hAnsi="Times New Roman" w:cs="Times New Roman"/>
          <w:sz w:val="28"/>
          <w:szCs w:val="28"/>
        </w:rPr>
      </w:pPr>
      <w:r w:rsidRPr="00EC20F8">
        <w:rPr>
          <w:rFonts w:ascii="Times New Roman" w:hAnsi="Times New Roman" w:cs="Times New Roman"/>
          <w:spacing w:val="2"/>
          <w:sz w:val="28"/>
          <w:szCs w:val="28"/>
        </w:rPr>
        <w:t xml:space="preserve">Значительная часть малых и средних предприятий ведет деятельность в тех видах экономической деятельности, </w:t>
      </w:r>
      <w:r w:rsidRPr="00EC20F8">
        <w:rPr>
          <w:rFonts w:ascii="Times New Roman" w:hAnsi="Times New Roman" w:cs="Times New Roman"/>
          <w:sz w:val="28"/>
          <w:szCs w:val="28"/>
        </w:rPr>
        <w:t>которые не требуют сравнительно больших стартовых затрат и обеспечивают быструю отдачу в связи с быстрой оборачиваемостью капитала.</w:t>
      </w:r>
      <w:r w:rsidRPr="00EC20F8">
        <w:rPr>
          <w:rFonts w:ascii="Times New Roman" w:hAnsi="Times New Roman" w:cs="Times New Roman"/>
          <w:w w:val="109"/>
          <w:sz w:val="28"/>
          <w:szCs w:val="28"/>
        </w:rPr>
        <w:t xml:space="preserve"> </w:t>
      </w:r>
      <w:r w:rsidRPr="00EC20F8">
        <w:rPr>
          <w:rFonts w:ascii="Times New Roman" w:hAnsi="Times New Roman" w:cs="Times New Roman"/>
          <w:sz w:val="28"/>
          <w:szCs w:val="28"/>
        </w:rPr>
        <w:t xml:space="preserve">Непроизводственная сфера остается наиболее привлекательным видом деятельности. </w:t>
      </w:r>
    </w:p>
    <w:p w:rsidR="000663EB" w:rsidRPr="00EC20F8" w:rsidRDefault="000663EB" w:rsidP="000663EB">
      <w:pPr>
        <w:widowControl w:val="0"/>
        <w:spacing w:line="240" w:lineRule="auto"/>
        <w:ind w:firstLine="709"/>
        <w:jc w:val="both"/>
        <w:rPr>
          <w:rFonts w:ascii="Times New Roman" w:hAnsi="Times New Roman" w:cs="Times New Roman"/>
          <w:spacing w:val="2"/>
          <w:sz w:val="28"/>
          <w:szCs w:val="28"/>
        </w:rPr>
      </w:pPr>
      <w:proofErr w:type="gramStart"/>
      <w:r w:rsidRPr="00EC20F8">
        <w:rPr>
          <w:rFonts w:ascii="Times New Roman" w:hAnsi="Times New Roman" w:cs="Times New Roman"/>
          <w:sz w:val="28"/>
          <w:szCs w:val="28"/>
        </w:rPr>
        <w:t>В общем количестве малых и средних предприятий наибольший удельный вес приходится на</w:t>
      </w:r>
      <w:r w:rsidRPr="00EC20F8">
        <w:rPr>
          <w:rFonts w:ascii="Times New Roman" w:hAnsi="Times New Roman" w:cs="Times New Roman"/>
          <w:spacing w:val="2"/>
          <w:sz w:val="28"/>
          <w:szCs w:val="28"/>
        </w:rPr>
        <w:t xml:space="preserve"> оптовую и розничную торговлю, ремонт автотранспортных средств, мотоциклов и бытовых изделий и предметов личного пользования - 34,3%, операции с недвижимым имуществом,</w:t>
      </w:r>
      <w:r w:rsidRPr="00EC20F8">
        <w:rPr>
          <w:rFonts w:ascii="Times New Roman" w:hAnsi="Times New Roman" w:cs="Times New Roman"/>
          <w:sz w:val="28"/>
          <w:szCs w:val="28"/>
        </w:rPr>
        <w:t xml:space="preserve"> аренду и предоставление услуг  </w:t>
      </w:r>
      <w:r w:rsidRPr="00EC20F8">
        <w:rPr>
          <w:rFonts w:ascii="Times New Roman" w:hAnsi="Times New Roman" w:cs="Times New Roman"/>
          <w:spacing w:val="2"/>
          <w:sz w:val="28"/>
          <w:szCs w:val="28"/>
        </w:rPr>
        <w:t>- 17,4%, строительство - 15,4%, обрабатывающие производства -  9%, транспорт и связь - 8,9%.</w:t>
      </w:r>
      <w:proofErr w:type="gramEnd"/>
    </w:p>
    <w:p w:rsidR="000663EB" w:rsidRPr="00EC20F8" w:rsidRDefault="000663EB" w:rsidP="000663EB">
      <w:pPr>
        <w:widowControl w:val="0"/>
        <w:spacing w:line="240" w:lineRule="auto"/>
        <w:ind w:firstLine="709"/>
        <w:jc w:val="both"/>
        <w:rPr>
          <w:rFonts w:ascii="Times New Roman" w:hAnsi="Times New Roman"/>
          <w:sz w:val="28"/>
          <w:szCs w:val="28"/>
        </w:rPr>
      </w:pPr>
      <w:r w:rsidRPr="00EC20F8">
        <w:rPr>
          <w:rFonts w:ascii="Times New Roman" w:hAnsi="Times New Roman"/>
          <w:sz w:val="28"/>
          <w:szCs w:val="28"/>
        </w:rPr>
        <w:t xml:space="preserve">Выпуск товаров и услуг малыми предприятиями с учетом микропредприятий в действующих ценах в 2013 году сложился в размере 45 465,8 </w:t>
      </w:r>
      <w:proofErr w:type="spellStart"/>
      <w:proofErr w:type="gramStart"/>
      <w:r w:rsidRPr="00EC20F8">
        <w:rPr>
          <w:rFonts w:ascii="Times New Roman" w:hAnsi="Times New Roman"/>
          <w:sz w:val="28"/>
          <w:szCs w:val="28"/>
        </w:rPr>
        <w:t>млн</w:t>
      </w:r>
      <w:proofErr w:type="spellEnd"/>
      <w:proofErr w:type="gramEnd"/>
      <w:r w:rsidRPr="00EC20F8">
        <w:rPr>
          <w:rFonts w:ascii="Times New Roman" w:hAnsi="Times New Roman"/>
          <w:sz w:val="28"/>
          <w:szCs w:val="28"/>
        </w:rPr>
        <w:t xml:space="preserve"> рублей.</w:t>
      </w:r>
    </w:p>
    <w:p w:rsidR="000663EB" w:rsidRPr="00EC20F8" w:rsidRDefault="000663EB" w:rsidP="000663EB">
      <w:pPr>
        <w:widowControl w:val="0"/>
        <w:spacing w:line="240" w:lineRule="auto"/>
        <w:ind w:firstLine="709"/>
        <w:jc w:val="both"/>
        <w:rPr>
          <w:rFonts w:ascii="Times New Roman" w:hAnsi="Times New Roman"/>
          <w:sz w:val="28"/>
          <w:szCs w:val="28"/>
        </w:rPr>
      </w:pPr>
      <w:r w:rsidRPr="00EC20F8">
        <w:rPr>
          <w:rFonts w:ascii="Times New Roman" w:hAnsi="Times New Roman"/>
          <w:sz w:val="28"/>
          <w:szCs w:val="28"/>
        </w:rPr>
        <w:t xml:space="preserve">Оборот данных предприятий в расчете на одного работника, в среднем составил: в промышленности – 1 772 </w:t>
      </w:r>
      <w:proofErr w:type="spellStart"/>
      <w:proofErr w:type="gramStart"/>
      <w:r w:rsidRPr="00EC20F8">
        <w:rPr>
          <w:rFonts w:ascii="Times New Roman" w:hAnsi="Times New Roman"/>
          <w:sz w:val="28"/>
          <w:szCs w:val="28"/>
        </w:rPr>
        <w:t>тыс</w:t>
      </w:r>
      <w:proofErr w:type="spellEnd"/>
      <w:proofErr w:type="gramEnd"/>
      <w:r w:rsidRPr="00EC20F8">
        <w:rPr>
          <w:rFonts w:ascii="Times New Roman" w:hAnsi="Times New Roman"/>
          <w:sz w:val="28"/>
          <w:szCs w:val="28"/>
        </w:rPr>
        <w:t xml:space="preserve"> рублей, на предприятиях строительства – 2 297 тысячи рублей, на предприятиях торговли, общественном питании и других отраслях – 3 313 тысяч рублей.</w:t>
      </w:r>
    </w:p>
    <w:p w:rsidR="000663EB" w:rsidRPr="00EC20F8" w:rsidRDefault="000663EB" w:rsidP="000663EB">
      <w:pPr>
        <w:widowControl w:val="0"/>
        <w:spacing w:line="240" w:lineRule="auto"/>
        <w:ind w:firstLine="709"/>
        <w:jc w:val="both"/>
        <w:rPr>
          <w:rFonts w:ascii="Times New Roman" w:hAnsi="Times New Roman"/>
          <w:sz w:val="28"/>
          <w:szCs w:val="28"/>
        </w:rPr>
      </w:pPr>
      <w:r w:rsidRPr="00EC20F8">
        <w:rPr>
          <w:rFonts w:ascii="Times New Roman" w:hAnsi="Times New Roman"/>
          <w:sz w:val="28"/>
          <w:szCs w:val="28"/>
        </w:rPr>
        <w:t xml:space="preserve">Оборот предприятий характеризовался положительной динамикой по следующим видам экономической деятельности: на предприятиях транспорта и связи – 102,3 %, в оптовой и розничной торговле – 105,7 %, обрабатывающих производствах – 108,5 %, производстве и распределении электроэнергии, газа и воды - 111,1 %. </w:t>
      </w:r>
    </w:p>
    <w:p w:rsidR="000663EB" w:rsidRPr="00EC20F8" w:rsidRDefault="000663EB" w:rsidP="000663EB">
      <w:pPr>
        <w:widowControl w:val="0"/>
        <w:spacing w:line="240" w:lineRule="auto"/>
        <w:ind w:firstLine="709"/>
        <w:jc w:val="both"/>
        <w:rPr>
          <w:rFonts w:ascii="Times New Roman" w:hAnsi="Times New Roman"/>
          <w:sz w:val="28"/>
          <w:szCs w:val="28"/>
        </w:rPr>
      </w:pPr>
      <w:r w:rsidRPr="00EC20F8">
        <w:rPr>
          <w:rFonts w:ascii="Times New Roman" w:hAnsi="Times New Roman"/>
          <w:sz w:val="28"/>
          <w:szCs w:val="28"/>
        </w:rPr>
        <w:t>Наибольшую долю в обороте малых предприятий (с учетом микропредприятий) составили предприятия оптовой и розничной торговли – 54,6</w:t>
      </w:r>
      <w:r w:rsidR="00990E00" w:rsidRPr="00EC20F8">
        <w:rPr>
          <w:rFonts w:ascii="Times New Roman" w:hAnsi="Times New Roman"/>
          <w:sz w:val="28"/>
          <w:szCs w:val="28"/>
        </w:rPr>
        <w:t xml:space="preserve"> </w:t>
      </w:r>
      <w:r w:rsidRPr="00EC20F8">
        <w:rPr>
          <w:rFonts w:ascii="Times New Roman" w:hAnsi="Times New Roman"/>
          <w:sz w:val="28"/>
          <w:szCs w:val="28"/>
        </w:rPr>
        <w:t>%, строительства –14,8</w:t>
      </w:r>
      <w:r w:rsidR="00990E00" w:rsidRPr="00EC20F8">
        <w:rPr>
          <w:rFonts w:ascii="Times New Roman" w:hAnsi="Times New Roman"/>
          <w:sz w:val="28"/>
          <w:szCs w:val="28"/>
        </w:rPr>
        <w:t xml:space="preserve"> </w:t>
      </w:r>
      <w:r w:rsidRPr="00EC20F8">
        <w:rPr>
          <w:rFonts w:ascii="Times New Roman" w:hAnsi="Times New Roman"/>
          <w:sz w:val="28"/>
          <w:szCs w:val="28"/>
        </w:rPr>
        <w:t>%. обрабатывающих производств – 5,7</w:t>
      </w:r>
      <w:r w:rsidR="00990E00" w:rsidRPr="00EC20F8">
        <w:rPr>
          <w:rFonts w:ascii="Times New Roman" w:hAnsi="Times New Roman"/>
          <w:sz w:val="28"/>
          <w:szCs w:val="28"/>
        </w:rPr>
        <w:t xml:space="preserve"> </w:t>
      </w:r>
      <w:r w:rsidRPr="00EC20F8">
        <w:rPr>
          <w:rFonts w:ascii="Times New Roman" w:hAnsi="Times New Roman"/>
          <w:sz w:val="28"/>
          <w:szCs w:val="28"/>
        </w:rPr>
        <w:t>%.</w:t>
      </w:r>
    </w:p>
    <w:p w:rsidR="000663EB" w:rsidRPr="00EC20F8" w:rsidRDefault="000663EB" w:rsidP="000663EB">
      <w:pPr>
        <w:spacing w:line="240" w:lineRule="auto"/>
        <w:ind w:firstLine="709"/>
        <w:jc w:val="both"/>
        <w:rPr>
          <w:rFonts w:ascii="Times New Roman" w:hAnsi="Times New Roman"/>
          <w:sz w:val="28"/>
          <w:szCs w:val="28"/>
        </w:rPr>
      </w:pPr>
      <w:r w:rsidRPr="00EC20F8">
        <w:rPr>
          <w:rFonts w:ascii="Times New Roman" w:hAnsi="Times New Roman"/>
          <w:sz w:val="28"/>
          <w:szCs w:val="28"/>
        </w:rPr>
        <w:t xml:space="preserve">Наибольшее количество работников занято в оптовой и розничной торговле, ремонте автотранспортных средств - 28,7% от общего количества занятых на малых предприятиях, в строительстве - 21,7%, </w:t>
      </w:r>
      <w:proofErr w:type="gramStart"/>
      <w:r w:rsidRPr="00EC20F8">
        <w:rPr>
          <w:rFonts w:ascii="Times New Roman" w:hAnsi="Times New Roman"/>
          <w:sz w:val="28"/>
          <w:szCs w:val="28"/>
        </w:rPr>
        <w:t>с</w:t>
      </w:r>
      <w:proofErr w:type="gramEnd"/>
      <w:r w:rsidRPr="00EC20F8">
        <w:rPr>
          <w:rFonts w:ascii="Times New Roman" w:hAnsi="Times New Roman"/>
          <w:sz w:val="28"/>
          <w:szCs w:val="28"/>
        </w:rPr>
        <w:t xml:space="preserve"> сфере аренды и операций с недвижимым имуществом - 18,1%, в сфере транспорта и связи - 12%.</w:t>
      </w:r>
    </w:p>
    <w:p w:rsidR="000663EB" w:rsidRPr="00EC20F8" w:rsidRDefault="000663EB" w:rsidP="000663EB">
      <w:pPr>
        <w:ind w:firstLine="709"/>
        <w:jc w:val="both"/>
        <w:rPr>
          <w:rFonts w:ascii="Times New Roman" w:eastAsia="Calibri" w:hAnsi="Times New Roman" w:cs="Times New Roman"/>
          <w:kern w:val="28"/>
          <w:sz w:val="28"/>
          <w:szCs w:val="28"/>
        </w:rPr>
      </w:pPr>
      <w:r w:rsidRPr="00EC20F8">
        <w:rPr>
          <w:rFonts w:ascii="Times New Roman" w:eastAsia="Calibri" w:hAnsi="Times New Roman" w:cs="Times New Roman"/>
          <w:kern w:val="28"/>
          <w:sz w:val="28"/>
          <w:szCs w:val="28"/>
        </w:rPr>
        <w:t xml:space="preserve">На развитие малого бизнеса значительное влияние оказывает </w:t>
      </w:r>
      <w:r w:rsidRPr="00EC20F8">
        <w:rPr>
          <w:rFonts w:ascii="Times New Roman" w:eastAsia="Calibri" w:hAnsi="Times New Roman" w:cs="Times New Roman"/>
          <w:i/>
          <w:kern w:val="28"/>
          <w:sz w:val="28"/>
          <w:szCs w:val="28"/>
        </w:rPr>
        <w:t>индивидуальное предпринимательство</w:t>
      </w:r>
      <w:r w:rsidRPr="00EC20F8">
        <w:rPr>
          <w:rFonts w:ascii="Times New Roman" w:hAnsi="Times New Roman" w:cs="Times New Roman"/>
          <w:kern w:val="28"/>
          <w:sz w:val="28"/>
          <w:szCs w:val="28"/>
        </w:rPr>
        <w:t xml:space="preserve"> (далее – ИП)</w:t>
      </w:r>
      <w:r w:rsidRPr="00EC20F8">
        <w:rPr>
          <w:rFonts w:ascii="Times New Roman" w:eastAsia="Calibri" w:hAnsi="Times New Roman" w:cs="Times New Roman"/>
          <w:kern w:val="28"/>
          <w:sz w:val="28"/>
          <w:szCs w:val="28"/>
        </w:rPr>
        <w:t xml:space="preserve">. </w:t>
      </w:r>
      <w:proofErr w:type="gramStart"/>
      <w:r w:rsidRPr="00EC20F8">
        <w:rPr>
          <w:rFonts w:ascii="Times New Roman" w:eastAsia="Calibri" w:hAnsi="Times New Roman" w:cs="Times New Roman"/>
          <w:kern w:val="28"/>
          <w:sz w:val="28"/>
          <w:szCs w:val="28"/>
        </w:rPr>
        <w:t xml:space="preserve">Вместе с тем, </w:t>
      </w:r>
      <w:r w:rsidRPr="00EC20F8">
        <w:rPr>
          <w:rFonts w:ascii="Times New Roman" w:hAnsi="Times New Roman" w:cs="Times New Roman"/>
          <w:sz w:val="28"/>
          <w:szCs w:val="28"/>
        </w:rPr>
        <w:t>произошло снижение количества индивидуальных предпринимателей с 8 581 в 2012 году до 7</w:t>
      </w:r>
      <w:r w:rsidR="00990E00" w:rsidRPr="00EC20F8">
        <w:rPr>
          <w:rFonts w:ascii="Times New Roman" w:hAnsi="Times New Roman" w:cs="Times New Roman"/>
          <w:sz w:val="28"/>
          <w:szCs w:val="28"/>
        </w:rPr>
        <w:t xml:space="preserve"> </w:t>
      </w:r>
      <w:r w:rsidRPr="00EC20F8">
        <w:rPr>
          <w:rFonts w:ascii="Times New Roman" w:hAnsi="Times New Roman" w:cs="Times New Roman"/>
          <w:sz w:val="28"/>
          <w:szCs w:val="28"/>
        </w:rPr>
        <w:t>938 в 2013 году – на 7,5 %.</w:t>
      </w:r>
      <w:r w:rsidRPr="00EC20F8">
        <w:rPr>
          <w:rFonts w:ascii="Times New Roman" w:hAnsi="Times New Roman" w:cs="Times New Roman"/>
          <w:kern w:val="28"/>
          <w:sz w:val="28"/>
          <w:szCs w:val="28"/>
        </w:rPr>
        <w:t xml:space="preserve"> </w:t>
      </w:r>
      <w:r w:rsidRPr="00EC20F8">
        <w:rPr>
          <w:rFonts w:ascii="Times New Roman" w:eastAsia="Calibri" w:hAnsi="Times New Roman" w:cs="Times New Roman"/>
          <w:kern w:val="28"/>
          <w:sz w:val="28"/>
          <w:szCs w:val="28"/>
        </w:rPr>
        <w:t xml:space="preserve">Снижение численности </w:t>
      </w:r>
      <w:r w:rsidRPr="00EC20F8">
        <w:rPr>
          <w:rFonts w:ascii="Times New Roman" w:hAnsi="Times New Roman" w:cs="Times New Roman"/>
          <w:kern w:val="28"/>
          <w:sz w:val="28"/>
          <w:szCs w:val="28"/>
        </w:rPr>
        <w:t>ИП</w:t>
      </w:r>
      <w:r w:rsidRPr="00EC20F8">
        <w:rPr>
          <w:rFonts w:ascii="Times New Roman" w:eastAsia="Calibri" w:hAnsi="Times New Roman" w:cs="Times New Roman"/>
          <w:kern w:val="28"/>
          <w:sz w:val="28"/>
          <w:szCs w:val="28"/>
        </w:rPr>
        <w:t xml:space="preserve"> связано с увеличением фиксированных страховых взносов в Пенсионный фонд и в Федеральный фонд обязательного медицинского страхования в 2,12 раза (2012 год – 17</w:t>
      </w:r>
      <w:r w:rsidR="00990E00" w:rsidRPr="00EC20F8">
        <w:rPr>
          <w:rFonts w:ascii="Times New Roman" w:eastAsia="Calibri" w:hAnsi="Times New Roman" w:cs="Times New Roman"/>
          <w:kern w:val="28"/>
          <w:sz w:val="28"/>
          <w:szCs w:val="28"/>
        </w:rPr>
        <w:t xml:space="preserve"> </w:t>
      </w:r>
      <w:r w:rsidRPr="00EC20F8">
        <w:rPr>
          <w:rFonts w:ascii="Times New Roman" w:eastAsia="Calibri" w:hAnsi="Times New Roman" w:cs="Times New Roman"/>
          <w:kern w:val="28"/>
          <w:sz w:val="28"/>
          <w:szCs w:val="28"/>
        </w:rPr>
        <w:t>208 рублей 25 копеек, 2013 год – 35</w:t>
      </w:r>
      <w:r w:rsidR="00990E00" w:rsidRPr="00EC20F8">
        <w:rPr>
          <w:rFonts w:ascii="Times New Roman" w:eastAsia="Calibri" w:hAnsi="Times New Roman" w:cs="Times New Roman"/>
          <w:kern w:val="28"/>
          <w:sz w:val="28"/>
          <w:szCs w:val="28"/>
        </w:rPr>
        <w:t xml:space="preserve"> </w:t>
      </w:r>
      <w:r w:rsidRPr="00EC20F8">
        <w:rPr>
          <w:rFonts w:ascii="Times New Roman" w:eastAsia="Calibri" w:hAnsi="Times New Roman" w:cs="Times New Roman"/>
          <w:kern w:val="28"/>
          <w:sz w:val="28"/>
          <w:szCs w:val="28"/>
        </w:rPr>
        <w:t>664 рубля 64 копейки), что стало</w:t>
      </w:r>
      <w:proofErr w:type="gramEnd"/>
      <w:r w:rsidRPr="00EC20F8">
        <w:rPr>
          <w:rFonts w:ascii="Times New Roman" w:eastAsia="Calibri" w:hAnsi="Times New Roman" w:cs="Times New Roman"/>
          <w:kern w:val="28"/>
          <w:sz w:val="28"/>
          <w:szCs w:val="28"/>
        </w:rPr>
        <w:t xml:space="preserve"> неподъемно для </w:t>
      </w:r>
      <w:r w:rsidRPr="00EC20F8">
        <w:rPr>
          <w:rFonts w:ascii="Times New Roman" w:hAnsi="Times New Roman" w:cs="Times New Roman"/>
          <w:kern w:val="28"/>
          <w:sz w:val="28"/>
          <w:szCs w:val="28"/>
        </w:rPr>
        <w:t>ИП</w:t>
      </w:r>
      <w:r w:rsidRPr="00EC20F8">
        <w:rPr>
          <w:rFonts w:ascii="Times New Roman" w:eastAsia="Calibri" w:hAnsi="Times New Roman" w:cs="Times New Roman"/>
          <w:kern w:val="28"/>
          <w:sz w:val="28"/>
          <w:szCs w:val="28"/>
        </w:rPr>
        <w:t xml:space="preserve"> с небольшими доходами, особенно это повлияло на ИП, оказывающие мелкие бытовые услуги (ремонт одежды, обуви, изготовление ключей, мелкие парикмахерс</w:t>
      </w:r>
      <w:r w:rsidRPr="00EC20F8">
        <w:rPr>
          <w:rFonts w:ascii="Times New Roman" w:hAnsi="Times New Roman" w:cs="Times New Roman"/>
          <w:kern w:val="28"/>
          <w:sz w:val="28"/>
          <w:szCs w:val="28"/>
        </w:rPr>
        <w:t>кие).</w:t>
      </w:r>
    </w:p>
    <w:p w:rsidR="000663EB" w:rsidRPr="00EC20F8" w:rsidRDefault="000663EB" w:rsidP="000663EB">
      <w:pPr>
        <w:ind w:firstLine="567"/>
        <w:jc w:val="both"/>
        <w:rPr>
          <w:rFonts w:ascii="Times New Roman" w:eastAsia="Calibri" w:hAnsi="Times New Roman" w:cs="Times New Roman"/>
          <w:kern w:val="28"/>
          <w:sz w:val="28"/>
          <w:szCs w:val="28"/>
        </w:rPr>
      </w:pPr>
      <w:r w:rsidRPr="00EC20F8">
        <w:rPr>
          <w:rFonts w:ascii="Times New Roman" w:eastAsia="Calibri" w:hAnsi="Times New Roman" w:cs="Times New Roman"/>
          <w:kern w:val="28"/>
          <w:sz w:val="28"/>
          <w:szCs w:val="28"/>
        </w:rPr>
        <w:t xml:space="preserve">Наибольшее количество индивидуальных предпринимателей осуществляют предпринимательскую деятельность в торговле – </w:t>
      </w:r>
      <w:r w:rsidRPr="00EC20F8">
        <w:rPr>
          <w:rFonts w:ascii="Times New Roman" w:hAnsi="Times New Roman" w:cs="Times New Roman"/>
          <w:kern w:val="28"/>
          <w:sz w:val="28"/>
          <w:szCs w:val="28"/>
        </w:rPr>
        <w:t>48</w:t>
      </w:r>
      <w:r w:rsidRPr="00EC20F8">
        <w:rPr>
          <w:rFonts w:ascii="Times New Roman" w:eastAsia="Calibri" w:hAnsi="Times New Roman" w:cs="Times New Roman"/>
          <w:kern w:val="28"/>
          <w:sz w:val="28"/>
          <w:szCs w:val="28"/>
        </w:rPr>
        <w:t>,0</w:t>
      </w:r>
      <w:r w:rsidRPr="00EC20F8">
        <w:rPr>
          <w:rFonts w:ascii="Times New Roman" w:hAnsi="Times New Roman" w:cs="Times New Roman"/>
          <w:kern w:val="28"/>
          <w:sz w:val="28"/>
          <w:szCs w:val="28"/>
        </w:rPr>
        <w:t xml:space="preserve"> </w:t>
      </w:r>
      <w:r w:rsidRPr="00EC20F8">
        <w:rPr>
          <w:rFonts w:ascii="Times New Roman" w:eastAsia="Calibri" w:hAnsi="Times New Roman" w:cs="Times New Roman"/>
          <w:kern w:val="28"/>
          <w:sz w:val="28"/>
          <w:szCs w:val="28"/>
        </w:rPr>
        <w:t>%, транспорт и связь – 12,</w:t>
      </w:r>
      <w:r w:rsidRPr="00EC20F8">
        <w:rPr>
          <w:rFonts w:ascii="Times New Roman" w:hAnsi="Times New Roman" w:cs="Times New Roman"/>
          <w:kern w:val="28"/>
          <w:sz w:val="28"/>
          <w:szCs w:val="28"/>
        </w:rPr>
        <w:t xml:space="preserve">4 </w:t>
      </w:r>
      <w:r w:rsidRPr="00EC20F8">
        <w:rPr>
          <w:rFonts w:ascii="Times New Roman" w:eastAsia="Calibri" w:hAnsi="Times New Roman" w:cs="Times New Roman"/>
          <w:kern w:val="28"/>
          <w:sz w:val="28"/>
          <w:szCs w:val="28"/>
        </w:rPr>
        <w:t>%, операции с недвижимым имуществом</w:t>
      </w:r>
      <w:r w:rsidRPr="00EC20F8">
        <w:rPr>
          <w:rFonts w:ascii="Times New Roman" w:hAnsi="Times New Roman" w:cs="Times New Roman"/>
          <w:kern w:val="28"/>
          <w:sz w:val="28"/>
          <w:szCs w:val="28"/>
        </w:rPr>
        <w:t>, аренда и предоставление услуг</w:t>
      </w:r>
      <w:r w:rsidRPr="00EC20F8">
        <w:rPr>
          <w:rFonts w:ascii="Times New Roman" w:eastAsia="Calibri" w:hAnsi="Times New Roman" w:cs="Times New Roman"/>
          <w:kern w:val="28"/>
          <w:sz w:val="28"/>
          <w:szCs w:val="28"/>
        </w:rPr>
        <w:t xml:space="preserve"> – </w:t>
      </w:r>
      <w:r w:rsidRPr="00EC20F8">
        <w:rPr>
          <w:rFonts w:ascii="Times New Roman" w:hAnsi="Times New Roman" w:cs="Times New Roman"/>
          <w:kern w:val="28"/>
          <w:sz w:val="28"/>
          <w:szCs w:val="28"/>
        </w:rPr>
        <w:t xml:space="preserve">11,6 </w:t>
      </w:r>
      <w:r w:rsidRPr="00EC20F8">
        <w:rPr>
          <w:rFonts w:ascii="Times New Roman" w:eastAsia="Calibri" w:hAnsi="Times New Roman" w:cs="Times New Roman"/>
          <w:kern w:val="28"/>
          <w:sz w:val="28"/>
          <w:szCs w:val="28"/>
        </w:rPr>
        <w:t xml:space="preserve">%, в строительстве </w:t>
      </w:r>
      <w:r w:rsidRPr="00EC20F8">
        <w:rPr>
          <w:rFonts w:ascii="Times New Roman" w:hAnsi="Times New Roman" w:cs="Times New Roman"/>
          <w:kern w:val="28"/>
          <w:sz w:val="28"/>
          <w:szCs w:val="28"/>
        </w:rPr>
        <w:t xml:space="preserve">8,2 </w:t>
      </w:r>
      <w:r w:rsidRPr="00EC20F8">
        <w:rPr>
          <w:rFonts w:ascii="Times New Roman" w:eastAsia="Calibri" w:hAnsi="Times New Roman" w:cs="Times New Roman"/>
          <w:kern w:val="28"/>
          <w:sz w:val="28"/>
          <w:szCs w:val="28"/>
        </w:rPr>
        <w:t>%</w:t>
      </w:r>
      <w:r w:rsidRPr="00EC20F8">
        <w:rPr>
          <w:rFonts w:ascii="Times New Roman" w:hAnsi="Times New Roman" w:cs="Times New Roman"/>
          <w:kern w:val="28"/>
          <w:sz w:val="28"/>
          <w:szCs w:val="28"/>
        </w:rPr>
        <w:t>, предоставление прочих коммунальных, социальных и персональных услуг</w:t>
      </w:r>
      <w:r w:rsidRPr="00EC20F8">
        <w:rPr>
          <w:rFonts w:ascii="Times New Roman" w:eastAsia="Calibri" w:hAnsi="Times New Roman" w:cs="Times New Roman"/>
          <w:kern w:val="28"/>
          <w:sz w:val="28"/>
          <w:szCs w:val="28"/>
        </w:rPr>
        <w:t xml:space="preserve"> </w:t>
      </w:r>
      <w:r w:rsidRPr="00EC20F8">
        <w:rPr>
          <w:rFonts w:ascii="Times New Roman" w:hAnsi="Times New Roman" w:cs="Times New Roman"/>
          <w:kern w:val="28"/>
          <w:sz w:val="28"/>
          <w:szCs w:val="28"/>
        </w:rPr>
        <w:t xml:space="preserve">- 7,3 % </w:t>
      </w:r>
      <w:r w:rsidRPr="00EC20F8">
        <w:rPr>
          <w:rFonts w:ascii="Times New Roman" w:eastAsia="Calibri" w:hAnsi="Times New Roman" w:cs="Times New Roman"/>
          <w:kern w:val="28"/>
          <w:sz w:val="28"/>
          <w:szCs w:val="28"/>
        </w:rPr>
        <w:t xml:space="preserve">и на обрабатывающих производствах – </w:t>
      </w:r>
      <w:r w:rsidRPr="00EC20F8">
        <w:rPr>
          <w:rFonts w:ascii="Times New Roman" w:hAnsi="Times New Roman" w:cs="Times New Roman"/>
          <w:kern w:val="28"/>
          <w:sz w:val="28"/>
          <w:szCs w:val="28"/>
        </w:rPr>
        <w:t xml:space="preserve">6,2 </w:t>
      </w:r>
      <w:r w:rsidRPr="00EC20F8">
        <w:rPr>
          <w:rFonts w:ascii="Times New Roman" w:eastAsia="Calibri" w:hAnsi="Times New Roman" w:cs="Times New Roman"/>
          <w:kern w:val="28"/>
          <w:sz w:val="28"/>
          <w:szCs w:val="28"/>
        </w:rPr>
        <w:t>%.</w:t>
      </w:r>
    </w:p>
    <w:p w:rsidR="000663EB" w:rsidRPr="00EC20F8" w:rsidRDefault="000663EB" w:rsidP="000663EB">
      <w:pPr>
        <w:tabs>
          <w:tab w:val="left" w:pos="-227"/>
          <w:tab w:val="left" w:pos="-57"/>
          <w:tab w:val="left" w:pos="0"/>
        </w:tabs>
        <w:ind w:firstLine="737"/>
        <w:jc w:val="both"/>
        <w:rPr>
          <w:rFonts w:ascii="Times New Roman" w:hAnsi="Times New Roman"/>
          <w:sz w:val="28"/>
          <w:szCs w:val="28"/>
        </w:rPr>
      </w:pPr>
      <w:r w:rsidRPr="00EC20F8">
        <w:rPr>
          <w:rFonts w:ascii="Times New Roman" w:hAnsi="Times New Roman"/>
          <w:b/>
          <w:i/>
          <w:sz w:val="28"/>
          <w:szCs w:val="28"/>
        </w:rPr>
        <w:t>По оценке, в 2014 году</w:t>
      </w:r>
      <w:r w:rsidRPr="00EC20F8">
        <w:rPr>
          <w:rFonts w:ascii="Times New Roman" w:hAnsi="Times New Roman"/>
          <w:sz w:val="28"/>
          <w:szCs w:val="28"/>
        </w:rPr>
        <w:t xml:space="preserve"> количество малых предприятий с учетом микропредприятий увеличится незначительно и составит 3 542 единицы </w:t>
      </w:r>
      <w:r w:rsidR="00990E00" w:rsidRPr="00EC20F8">
        <w:rPr>
          <w:rFonts w:ascii="Times New Roman" w:hAnsi="Times New Roman"/>
          <w:sz w:val="28"/>
          <w:szCs w:val="28"/>
        </w:rPr>
        <w:t xml:space="preserve">  </w:t>
      </w:r>
      <w:r w:rsidRPr="00EC20F8">
        <w:rPr>
          <w:rFonts w:ascii="Times New Roman" w:hAnsi="Times New Roman"/>
          <w:sz w:val="28"/>
          <w:szCs w:val="28"/>
        </w:rPr>
        <w:t>(103</w:t>
      </w:r>
      <w:r w:rsidR="00990E00" w:rsidRPr="00EC20F8">
        <w:rPr>
          <w:rFonts w:ascii="Times New Roman" w:hAnsi="Times New Roman"/>
          <w:sz w:val="28"/>
          <w:szCs w:val="28"/>
        </w:rPr>
        <w:t xml:space="preserve"> </w:t>
      </w:r>
      <w:r w:rsidRPr="00EC20F8">
        <w:rPr>
          <w:rFonts w:ascii="Times New Roman" w:hAnsi="Times New Roman"/>
          <w:sz w:val="28"/>
          <w:szCs w:val="28"/>
        </w:rPr>
        <w:t>% к уровню 2013 года). Среднесписочная численность</w:t>
      </w:r>
      <w:r w:rsidR="00990E00" w:rsidRPr="00EC20F8">
        <w:rPr>
          <w:rFonts w:ascii="Times New Roman" w:hAnsi="Times New Roman"/>
          <w:sz w:val="28"/>
          <w:szCs w:val="28"/>
        </w:rPr>
        <w:t xml:space="preserve"> работников данных предприятий </w:t>
      </w:r>
      <w:r w:rsidRPr="00EC20F8">
        <w:rPr>
          <w:rFonts w:ascii="Times New Roman" w:hAnsi="Times New Roman"/>
          <w:sz w:val="28"/>
          <w:szCs w:val="28"/>
        </w:rPr>
        <w:t>составит 16 тысяч человек (101,5</w:t>
      </w:r>
      <w:r w:rsidR="00990E00" w:rsidRPr="00EC20F8">
        <w:rPr>
          <w:rFonts w:ascii="Times New Roman" w:hAnsi="Times New Roman"/>
          <w:sz w:val="28"/>
          <w:szCs w:val="28"/>
        </w:rPr>
        <w:t xml:space="preserve"> </w:t>
      </w:r>
      <w:r w:rsidRPr="00EC20F8">
        <w:rPr>
          <w:rFonts w:ascii="Times New Roman" w:hAnsi="Times New Roman"/>
          <w:sz w:val="28"/>
          <w:szCs w:val="28"/>
        </w:rPr>
        <w:t>%).</w:t>
      </w:r>
    </w:p>
    <w:p w:rsidR="000663EB" w:rsidRPr="00EC20F8" w:rsidRDefault="000663EB" w:rsidP="000663EB">
      <w:pPr>
        <w:spacing w:line="240" w:lineRule="auto"/>
        <w:ind w:firstLine="720"/>
        <w:jc w:val="both"/>
        <w:rPr>
          <w:rFonts w:ascii="Times New Roman" w:hAnsi="Times New Roman"/>
          <w:sz w:val="28"/>
          <w:szCs w:val="28"/>
        </w:rPr>
      </w:pPr>
      <w:r w:rsidRPr="00EC20F8">
        <w:rPr>
          <w:rFonts w:ascii="Times New Roman" w:hAnsi="Times New Roman"/>
          <w:b/>
          <w:i/>
          <w:sz w:val="28"/>
          <w:szCs w:val="28"/>
        </w:rPr>
        <w:t>В 2015-201</w:t>
      </w:r>
      <w:r w:rsidR="00207AE1" w:rsidRPr="00EC20F8">
        <w:rPr>
          <w:rFonts w:ascii="Times New Roman" w:hAnsi="Times New Roman"/>
          <w:b/>
          <w:i/>
          <w:sz w:val="28"/>
          <w:szCs w:val="28"/>
        </w:rPr>
        <w:t>7</w:t>
      </w:r>
      <w:r w:rsidRPr="00EC20F8">
        <w:rPr>
          <w:rFonts w:ascii="Times New Roman" w:hAnsi="Times New Roman"/>
          <w:b/>
          <w:i/>
          <w:sz w:val="28"/>
          <w:szCs w:val="28"/>
        </w:rPr>
        <w:t xml:space="preserve"> году прогнозируется</w:t>
      </w:r>
      <w:r w:rsidRPr="00EC20F8">
        <w:rPr>
          <w:rFonts w:ascii="Times New Roman" w:hAnsi="Times New Roman"/>
          <w:sz w:val="28"/>
          <w:szCs w:val="28"/>
        </w:rPr>
        <w:t xml:space="preserve"> снижение темпов роста малых предприятий (с учетом микропредприятий) в связи с введением с 01.01.2013 обязательного ведения бухгалтерского учета для юридических лиц, применяющих упрощенную систем</w:t>
      </w:r>
      <w:r w:rsidR="00990E00" w:rsidRPr="00EC20F8">
        <w:rPr>
          <w:rFonts w:ascii="Times New Roman" w:hAnsi="Times New Roman"/>
          <w:sz w:val="28"/>
          <w:szCs w:val="28"/>
        </w:rPr>
        <w:t xml:space="preserve">у налогообложения. </w:t>
      </w:r>
      <w:r w:rsidRPr="00EC20F8">
        <w:rPr>
          <w:rFonts w:ascii="Times New Roman" w:hAnsi="Times New Roman"/>
          <w:sz w:val="28"/>
          <w:szCs w:val="28"/>
        </w:rPr>
        <w:t xml:space="preserve">Негативно скажется на росте числа субъектов малого предпринимательства увеличение в 2014 году тарифов страховых взносов в пенсионный фонд. </w:t>
      </w:r>
    </w:p>
    <w:p w:rsidR="000663EB" w:rsidRPr="00EC20F8" w:rsidRDefault="000663EB" w:rsidP="000663EB">
      <w:pPr>
        <w:spacing w:line="240" w:lineRule="auto"/>
        <w:ind w:firstLine="709"/>
        <w:jc w:val="both"/>
        <w:rPr>
          <w:rFonts w:ascii="Times New Roman" w:hAnsi="Times New Roman"/>
          <w:sz w:val="28"/>
          <w:szCs w:val="28"/>
        </w:rPr>
      </w:pPr>
      <w:proofErr w:type="gramStart"/>
      <w:r w:rsidRPr="00EC20F8">
        <w:rPr>
          <w:rFonts w:ascii="Times New Roman" w:hAnsi="Times New Roman"/>
          <w:sz w:val="28"/>
          <w:szCs w:val="28"/>
        </w:rPr>
        <w:t xml:space="preserve">Однако в связи тенденцией притока населения в сферу частного бизнеса, обусловленной мерами, проводимыми Правительством Российской Федерации, направленными на стимулирование перехода граждан из статуса безработных в статус индивидуальных предпринимателей путем содействия их </w:t>
      </w:r>
      <w:proofErr w:type="spellStart"/>
      <w:r w:rsidRPr="00EC20F8">
        <w:rPr>
          <w:rFonts w:ascii="Times New Roman" w:hAnsi="Times New Roman"/>
          <w:sz w:val="28"/>
          <w:szCs w:val="28"/>
        </w:rPr>
        <w:t>самозанятости</w:t>
      </w:r>
      <w:proofErr w:type="spellEnd"/>
      <w:r w:rsidR="0009546A" w:rsidRPr="00EC20F8">
        <w:rPr>
          <w:rFonts w:ascii="Times New Roman" w:hAnsi="Times New Roman"/>
          <w:sz w:val="28"/>
          <w:szCs w:val="28"/>
        </w:rPr>
        <w:t>,</w:t>
      </w:r>
      <w:r w:rsidRPr="00EC20F8">
        <w:rPr>
          <w:rFonts w:ascii="Times New Roman" w:hAnsi="Times New Roman"/>
          <w:sz w:val="28"/>
          <w:szCs w:val="28"/>
        </w:rPr>
        <w:t xml:space="preserve"> а также активно развивающейся поддержкой субъектов малого и среднего предпринимательства на уровне Правительства Камчатского края и администрации Петропавловск-Камчатского городского округа в 2015-2017 годах</w:t>
      </w:r>
      <w:r w:rsidR="0009546A" w:rsidRPr="00EC20F8">
        <w:rPr>
          <w:rFonts w:ascii="Times New Roman" w:hAnsi="Times New Roman"/>
          <w:sz w:val="28"/>
          <w:szCs w:val="28"/>
        </w:rPr>
        <w:t>,</w:t>
      </w:r>
      <w:r w:rsidRPr="00EC20F8">
        <w:rPr>
          <w:rFonts w:ascii="Times New Roman" w:hAnsi="Times New Roman"/>
          <w:sz w:val="28"/>
          <w:szCs w:val="28"/>
        </w:rPr>
        <w:t xml:space="preserve"> возможен как умеренный рост (по</w:t>
      </w:r>
      <w:proofErr w:type="gramEnd"/>
      <w:r w:rsidRPr="00EC20F8">
        <w:rPr>
          <w:rFonts w:ascii="Times New Roman" w:hAnsi="Times New Roman"/>
          <w:sz w:val="28"/>
          <w:szCs w:val="28"/>
        </w:rPr>
        <w:t xml:space="preserve"> </w:t>
      </w:r>
      <w:proofErr w:type="gramStart"/>
      <w:r w:rsidRPr="00EC20F8">
        <w:rPr>
          <w:rFonts w:ascii="Times New Roman" w:hAnsi="Times New Roman"/>
          <w:sz w:val="28"/>
          <w:szCs w:val="28"/>
        </w:rPr>
        <w:t>1 варианту), так и значительный рост количества субъектов малого и среднего предпринимательства (по 2 варианту).</w:t>
      </w:r>
      <w:proofErr w:type="gramEnd"/>
    </w:p>
    <w:p w:rsidR="000663EB" w:rsidRPr="00EC20F8" w:rsidRDefault="000663EB" w:rsidP="000663EB">
      <w:pPr>
        <w:spacing w:line="240" w:lineRule="auto"/>
        <w:ind w:firstLine="709"/>
        <w:jc w:val="both"/>
        <w:rPr>
          <w:rFonts w:ascii="Times New Roman" w:hAnsi="Times New Roman"/>
          <w:sz w:val="28"/>
          <w:szCs w:val="28"/>
        </w:rPr>
      </w:pPr>
      <w:r w:rsidRPr="00EC20F8">
        <w:rPr>
          <w:rFonts w:ascii="Times New Roman" w:hAnsi="Times New Roman"/>
          <w:sz w:val="28"/>
          <w:szCs w:val="28"/>
        </w:rPr>
        <w:t xml:space="preserve">Количество малых </w:t>
      </w:r>
      <w:r w:rsidR="00990E00" w:rsidRPr="00EC20F8">
        <w:rPr>
          <w:rFonts w:ascii="Times New Roman" w:hAnsi="Times New Roman"/>
          <w:sz w:val="28"/>
          <w:szCs w:val="28"/>
        </w:rPr>
        <w:t xml:space="preserve">предприятий и микропредприятий </w:t>
      </w:r>
      <w:r w:rsidR="0009546A" w:rsidRPr="00EC20F8">
        <w:rPr>
          <w:rFonts w:ascii="Times New Roman" w:hAnsi="Times New Roman"/>
          <w:sz w:val="28"/>
          <w:szCs w:val="28"/>
        </w:rPr>
        <w:t xml:space="preserve">(по 1 варианту) </w:t>
      </w:r>
      <w:r w:rsidR="00990E00" w:rsidRPr="00EC20F8">
        <w:rPr>
          <w:rFonts w:ascii="Times New Roman" w:hAnsi="Times New Roman"/>
          <w:sz w:val="28"/>
          <w:szCs w:val="28"/>
        </w:rPr>
        <w:t xml:space="preserve">увеличится </w:t>
      </w:r>
      <w:r w:rsidRPr="00EC20F8">
        <w:rPr>
          <w:rFonts w:ascii="Times New Roman" w:hAnsi="Times New Roman"/>
          <w:sz w:val="28"/>
          <w:szCs w:val="28"/>
        </w:rPr>
        <w:t>с 3542 единицы в 2014 году до 3</w:t>
      </w:r>
      <w:r w:rsidR="00990E00" w:rsidRPr="00EC20F8">
        <w:rPr>
          <w:rFonts w:ascii="Times New Roman" w:hAnsi="Times New Roman"/>
          <w:sz w:val="28"/>
          <w:szCs w:val="28"/>
        </w:rPr>
        <w:t xml:space="preserve"> </w:t>
      </w:r>
      <w:r w:rsidRPr="00EC20F8">
        <w:rPr>
          <w:rFonts w:ascii="Times New Roman" w:hAnsi="Times New Roman"/>
          <w:sz w:val="28"/>
          <w:szCs w:val="28"/>
        </w:rPr>
        <w:t xml:space="preserve">671 единицы в 2017 году </w:t>
      </w:r>
      <w:r w:rsidR="00990E00" w:rsidRPr="00EC20F8">
        <w:rPr>
          <w:rFonts w:ascii="Times New Roman" w:hAnsi="Times New Roman"/>
          <w:sz w:val="28"/>
          <w:szCs w:val="28"/>
        </w:rPr>
        <w:t xml:space="preserve">         </w:t>
      </w:r>
      <w:r w:rsidRPr="00EC20F8">
        <w:rPr>
          <w:rFonts w:ascii="Times New Roman" w:hAnsi="Times New Roman"/>
          <w:sz w:val="28"/>
          <w:szCs w:val="28"/>
        </w:rPr>
        <w:t>(</w:t>
      </w:r>
      <w:proofErr w:type="gramStart"/>
      <w:r w:rsidRPr="00EC20F8">
        <w:rPr>
          <w:rFonts w:ascii="Times New Roman" w:hAnsi="Times New Roman"/>
          <w:sz w:val="28"/>
          <w:szCs w:val="28"/>
        </w:rPr>
        <w:t>на</w:t>
      </w:r>
      <w:proofErr w:type="gramEnd"/>
      <w:r w:rsidRPr="00EC20F8">
        <w:rPr>
          <w:rFonts w:ascii="Times New Roman" w:hAnsi="Times New Roman"/>
          <w:sz w:val="28"/>
          <w:szCs w:val="28"/>
        </w:rPr>
        <w:t xml:space="preserve"> 3,6</w:t>
      </w:r>
      <w:r w:rsidR="00990E00" w:rsidRPr="00EC20F8">
        <w:rPr>
          <w:rFonts w:ascii="Times New Roman" w:hAnsi="Times New Roman"/>
          <w:sz w:val="28"/>
          <w:szCs w:val="28"/>
        </w:rPr>
        <w:t xml:space="preserve"> </w:t>
      </w:r>
      <w:r w:rsidRPr="00EC20F8">
        <w:rPr>
          <w:rFonts w:ascii="Times New Roman" w:hAnsi="Times New Roman"/>
          <w:sz w:val="28"/>
          <w:szCs w:val="28"/>
        </w:rPr>
        <w:t>%). Количество индивидуальных предпринимателей увеличится незначительно – на 0,2 – 1%.</w:t>
      </w:r>
    </w:p>
    <w:p w:rsidR="000663EB" w:rsidRPr="00EC20F8" w:rsidRDefault="000663EB" w:rsidP="000663EB">
      <w:pPr>
        <w:spacing w:line="240" w:lineRule="auto"/>
        <w:ind w:firstLine="709"/>
        <w:jc w:val="both"/>
        <w:rPr>
          <w:rFonts w:ascii="Times New Roman" w:hAnsi="Times New Roman"/>
          <w:sz w:val="28"/>
          <w:szCs w:val="28"/>
        </w:rPr>
      </w:pPr>
      <w:r w:rsidRPr="00EC20F8">
        <w:rPr>
          <w:rFonts w:ascii="Times New Roman" w:hAnsi="Times New Roman"/>
          <w:sz w:val="28"/>
          <w:szCs w:val="28"/>
        </w:rPr>
        <w:t xml:space="preserve">Средняя численность работников малых предприятий (с учетом микропредприятий) в 2017 году составит 16 984 человек, что выше уровня 2014 года на 6,1%. </w:t>
      </w:r>
    </w:p>
    <w:p w:rsidR="000663EB" w:rsidRPr="00EC20F8" w:rsidRDefault="000663EB" w:rsidP="000663EB">
      <w:pPr>
        <w:spacing w:line="240" w:lineRule="auto"/>
        <w:ind w:firstLine="709"/>
        <w:jc w:val="both"/>
        <w:rPr>
          <w:sz w:val="28"/>
          <w:szCs w:val="28"/>
        </w:rPr>
      </w:pPr>
      <w:r w:rsidRPr="00EC20F8">
        <w:rPr>
          <w:rFonts w:ascii="Times New Roman" w:hAnsi="Times New Roman"/>
          <w:sz w:val="28"/>
          <w:szCs w:val="28"/>
        </w:rPr>
        <w:t xml:space="preserve">Оборот малых предприятий (с учетом микропредприятий) в 2017 году составит 48 347,8 </w:t>
      </w:r>
      <w:proofErr w:type="spellStart"/>
      <w:proofErr w:type="gramStart"/>
      <w:r w:rsidRPr="00EC20F8">
        <w:rPr>
          <w:rFonts w:ascii="Times New Roman" w:hAnsi="Times New Roman"/>
          <w:sz w:val="28"/>
          <w:szCs w:val="28"/>
        </w:rPr>
        <w:t>млн</w:t>
      </w:r>
      <w:proofErr w:type="spellEnd"/>
      <w:proofErr w:type="gramEnd"/>
      <w:r w:rsidRPr="00EC20F8">
        <w:rPr>
          <w:rFonts w:ascii="Times New Roman" w:hAnsi="Times New Roman"/>
          <w:sz w:val="28"/>
          <w:szCs w:val="28"/>
        </w:rPr>
        <w:t xml:space="preserve"> рублей (увеличение по сравнению с 2014 годом на 2,4%).</w:t>
      </w:r>
    </w:p>
    <w:p w:rsidR="00E117AE" w:rsidRPr="00EC20F8" w:rsidRDefault="000663EB" w:rsidP="00E117AE">
      <w:pPr>
        <w:autoSpaceDE w:val="0"/>
        <w:autoSpaceDN w:val="0"/>
        <w:adjustRightInd w:val="0"/>
        <w:spacing w:line="240" w:lineRule="auto"/>
        <w:ind w:left="34" w:right="-104" w:firstLine="675"/>
        <w:jc w:val="both"/>
        <w:rPr>
          <w:rFonts w:ascii="Times New Roman" w:hAnsi="Times New Roman" w:cs="Times New Roman"/>
          <w:sz w:val="28"/>
          <w:szCs w:val="28"/>
        </w:rPr>
      </w:pPr>
      <w:proofErr w:type="gramStart"/>
      <w:r w:rsidRPr="00EC20F8">
        <w:rPr>
          <w:rFonts w:ascii="Times New Roman" w:hAnsi="Times New Roman" w:cs="Times New Roman"/>
          <w:b/>
          <w:i/>
          <w:sz w:val="28"/>
          <w:szCs w:val="28"/>
        </w:rPr>
        <w:t xml:space="preserve">Поддержка предпринимательства в среднесрочной перспективе </w:t>
      </w:r>
      <w:r w:rsidRPr="00EC20F8">
        <w:rPr>
          <w:rFonts w:ascii="Times New Roman" w:hAnsi="Times New Roman" w:cs="Times New Roman"/>
          <w:sz w:val="28"/>
          <w:szCs w:val="28"/>
        </w:rPr>
        <w:t>будет осуществляться в соответст</w:t>
      </w:r>
      <w:r w:rsidR="00E117AE" w:rsidRPr="00EC20F8">
        <w:rPr>
          <w:rFonts w:ascii="Times New Roman" w:hAnsi="Times New Roman" w:cs="Times New Roman"/>
          <w:sz w:val="28"/>
          <w:szCs w:val="28"/>
        </w:rPr>
        <w:t>вии с муниципальной программой «Реализация экономической политики, инвестиционной, межрегиональной и международной деятельности Петропавловск-Камчатского городского округа» (подпрограмма 1 «Создание благоприятных условий для обеспечения населения Петропавловск-Камчатского городского округа услугами потребительского рынка и развития предпринимательства».</w:t>
      </w:r>
      <w:proofErr w:type="gramEnd"/>
    </w:p>
    <w:p w:rsidR="000663EB" w:rsidRPr="00EC20F8" w:rsidRDefault="000663EB" w:rsidP="000663EB">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В целях создания благоприятных условий для развития малого и среднего предприни</w:t>
      </w:r>
      <w:r w:rsidR="00990E00" w:rsidRPr="00EC20F8">
        <w:rPr>
          <w:rFonts w:ascii="Times New Roman" w:hAnsi="Times New Roman" w:cs="Times New Roman"/>
          <w:sz w:val="28"/>
          <w:szCs w:val="28"/>
        </w:rPr>
        <w:t xml:space="preserve">мательства </w:t>
      </w:r>
      <w:r w:rsidRPr="00EC20F8">
        <w:rPr>
          <w:rFonts w:ascii="Times New Roman" w:hAnsi="Times New Roman" w:cs="Times New Roman"/>
          <w:sz w:val="28"/>
          <w:szCs w:val="28"/>
        </w:rPr>
        <w:t>на территории городского округа</w:t>
      </w:r>
      <w:r w:rsidRPr="00EC20F8">
        <w:rPr>
          <w:rFonts w:ascii="Times New Roman" w:hAnsi="Times New Roman" w:cs="Times New Roman"/>
          <w:b/>
          <w:sz w:val="24"/>
          <w:szCs w:val="24"/>
        </w:rPr>
        <w:t xml:space="preserve"> </w:t>
      </w:r>
      <w:r w:rsidR="00E117AE" w:rsidRPr="00EC20F8">
        <w:rPr>
          <w:rFonts w:ascii="Times New Roman" w:hAnsi="Times New Roman" w:cs="Times New Roman"/>
          <w:sz w:val="28"/>
          <w:szCs w:val="28"/>
        </w:rPr>
        <w:t>планируется п</w:t>
      </w:r>
      <w:r w:rsidRPr="00EC20F8">
        <w:rPr>
          <w:rFonts w:ascii="Times New Roman" w:hAnsi="Times New Roman" w:cs="Times New Roman"/>
          <w:sz w:val="28"/>
          <w:szCs w:val="28"/>
        </w:rPr>
        <w:t>редоставление финансовой поддержки субъектам малого и среднего предпринимательства:</w:t>
      </w:r>
    </w:p>
    <w:p w:rsidR="00E117AE" w:rsidRPr="00EC20F8" w:rsidRDefault="00E117AE" w:rsidP="00E117AE">
      <w:pPr>
        <w:widowControl w:val="0"/>
        <w:autoSpaceDE w:val="0"/>
        <w:autoSpaceDN w:val="0"/>
        <w:adjustRightInd w:val="0"/>
        <w:spacing w:line="240" w:lineRule="auto"/>
        <w:ind w:firstLine="540"/>
        <w:jc w:val="both"/>
        <w:rPr>
          <w:rFonts w:ascii="Times New Roman" w:hAnsi="Times New Roman" w:cs="Times New Roman"/>
          <w:sz w:val="28"/>
          <w:szCs w:val="28"/>
        </w:rPr>
      </w:pPr>
      <w:r w:rsidRPr="00EC20F8">
        <w:rPr>
          <w:rFonts w:ascii="Times New Roman" w:hAnsi="Times New Roman" w:cs="Times New Roman"/>
          <w:sz w:val="28"/>
          <w:szCs w:val="28"/>
        </w:rPr>
        <w:t>- в виде грантов</w:t>
      </w:r>
      <w:r w:rsidR="009F2E05" w:rsidRPr="00EC20F8">
        <w:rPr>
          <w:rFonts w:ascii="Times New Roman" w:hAnsi="Times New Roman" w:cs="Times New Roman"/>
          <w:sz w:val="28"/>
          <w:szCs w:val="28"/>
        </w:rPr>
        <w:t xml:space="preserve"> начинающим субъектам малого предпринимательства</w:t>
      </w:r>
      <w:r w:rsidRPr="00EC20F8">
        <w:rPr>
          <w:rFonts w:ascii="Times New Roman" w:hAnsi="Times New Roman" w:cs="Times New Roman"/>
          <w:sz w:val="28"/>
          <w:szCs w:val="28"/>
        </w:rPr>
        <w:t xml:space="preserve"> на создание собственного бизнеса;  </w:t>
      </w:r>
    </w:p>
    <w:p w:rsidR="00E117AE" w:rsidRPr="00EC20F8" w:rsidRDefault="00E117AE" w:rsidP="00E117AE">
      <w:pPr>
        <w:widowControl w:val="0"/>
        <w:autoSpaceDE w:val="0"/>
        <w:autoSpaceDN w:val="0"/>
        <w:adjustRightInd w:val="0"/>
        <w:spacing w:line="240" w:lineRule="auto"/>
        <w:ind w:firstLine="540"/>
        <w:jc w:val="both"/>
        <w:rPr>
          <w:rFonts w:ascii="Times New Roman" w:hAnsi="Times New Roman" w:cs="Times New Roman"/>
          <w:sz w:val="28"/>
          <w:szCs w:val="28"/>
        </w:rPr>
      </w:pPr>
      <w:r w:rsidRPr="00EC20F8">
        <w:rPr>
          <w:rFonts w:ascii="Times New Roman" w:hAnsi="Times New Roman" w:cs="Times New Roman"/>
          <w:sz w:val="28"/>
          <w:szCs w:val="28"/>
        </w:rPr>
        <w:t>- в целях возмещения затрат на приобретение основных средств на ранней стадии деятельности;</w:t>
      </w:r>
    </w:p>
    <w:p w:rsidR="00E117AE" w:rsidRPr="00EC20F8" w:rsidRDefault="00E117AE" w:rsidP="00E117AE">
      <w:pPr>
        <w:widowControl w:val="0"/>
        <w:autoSpaceDE w:val="0"/>
        <w:autoSpaceDN w:val="0"/>
        <w:adjustRightInd w:val="0"/>
        <w:spacing w:line="240" w:lineRule="auto"/>
        <w:ind w:firstLine="540"/>
        <w:jc w:val="both"/>
        <w:rPr>
          <w:rFonts w:ascii="Times New Roman" w:hAnsi="Times New Roman" w:cs="Times New Roman"/>
          <w:sz w:val="28"/>
          <w:szCs w:val="28"/>
        </w:rPr>
      </w:pPr>
      <w:r w:rsidRPr="00EC20F8">
        <w:rPr>
          <w:rFonts w:ascii="Times New Roman" w:hAnsi="Times New Roman" w:cs="Times New Roman"/>
          <w:sz w:val="28"/>
          <w:szCs w:val="28"/>
        </w:rPr>
        <w:t>- в целях возмещения затрат, связанных с уплатой процентов по кредитам, привлеченным в российских кредитных организациях;</w:t>
      </w:r>
    </w:p>
    <w:p w:rsidR="00E117AE" w:rsidRPr="00EC20F8" w:rsidRDefault="00E117AE" w:rsidP="00E117AE">
      <w:pPr>
        <w:widowControl w:val="0"/>
        <w:autoSpaceDE w:val="0"/>
        <w:autoSpaceDN w:val="0"/>
        <w:adjustRightInd w:val="0"/>
        <w:spacing w:line="240" w:lineRule="auto"/>
        <w:ind w:firstLine="540"/>
        <w:jc w:val="both"/>
        <w:rPr>
          <w:rFonts w:ascii="Times New Roman" w:hAnsi="Times New Roman" w:cs="Times New Roman"/>
          <w:sz w:val="28"/>
          <w:szCs w:val="28"/>
        </w:rPr>
      </w:pPr>
      <w:r w:rsidRPr="00EC20F8">
        <w:rPr>
          <w:rFonts w:ascii="Times New Roman" w:hAnsi="Times New Roman" w:cs="Times New Roman"/>
          <w:sz w:val="28"/>
          <w:szCs w:val="28"/>
        </w:rPr>
        <w:t>- в целях возмещения затрат, связанных с приобретением оборудования для создания и (или) развития и (или) модернизации производства товаров (работ, услуг).</w:t>
      </w:r>
    </w:p>
    <w:p w:rsidR="000663EB" w:rsidRPr="00EC20F8" w:rsidRDefault="000663EB" w:rsidP="000663EB">
      <w:pPr>
        <w:pStyle w:val="ConsPlusNonformat"/>
        <w:tabs>
          <w:tab w:val="left" w:pos="1134"/>
        </w:tabs>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Предполагается оказание консультационной, организационно-методической и информационной поддержки субъектов малого и среднего предпринимательства с использованием ресурсов официального сайта администрации </w:t>
      </w:r>
      <w:proofErr w:type="gramStart"/>
      <w:r w:rsidRPr="00EC20F8">
        <w:rPr>
          <w:rFonts w:ascii="Times New Roman" w:hAnsi="Times New Roman" w:cs="Times New Roman"/>
          <w:sz w:val="28"/>
          <w:szCs w:val="28"/>
        </w:rPr>
        <w:t>Петропавловск-Камчатского</w:t>
      </w:r>
      <w:proofErr w:type="gramEnd"/>
      <w:r w:rsidRPr="00EC20F8">
        <w:rPr>
          <w:rFonts w:ascii="Times New Roman" w:hAnsi="Times New Roman" w:cs="Times New Roman"/>
          <w:sz w:val="28"/>
          <w:szCs w:val="28"/>
        </w:rPr>
        <w:t xml:space="preserve"> городского округа, в процессе работы консультационного (дистанционного) пункта и путем проведения круглых столов, совещаний, встреч представителей администрации городского округа с представителями </w:t>
      </w:r>
      <w:proofErr w:type="spellStart"/>
      <w:r w:rsidRPr="00EC20F8">
        <w:rPr>
          <w:rFonts w:ascii="Times New Roman" w:hAnsi="Times New Roman" w:cs="Times New Roman"/>
          <w:sz w:val="28"/>
          <w:szCs w:val="28"/>
        </w:rPr>
        <w:t>бизнес-сообщества</w:t>
      </w:r>
      <w:proofErr w:type="spellEnd"/>
      <w:r w:rsidRPr="00EC20F8">
        <w:rPr>
          <w:rFonts w:ascii="Times New Roman" w:hAnsi="Times New Roman" w:cs="Times New Roman"/>
          <w:sz w:val="28"/>
          <w:szCs w:val="28"/>
        </w:rPr>
        <w:t>.</w:t>
      </w:r>
    </w:p>
    <w:p w:rsidR="000663EB" w:rsidRPr="00EC20F8" w:rsidRDefault="000663EB" w:rsidP="000663EB">
      <w:pPr>
        <w:tabs>
          <w:tab w:val="left" w:pos="1134"/>
        </w:tabs>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w:t>
      </w:r>
      <w:proofErr w:type="gramStart"/>
      <w:r w:rsidRPr="00EC20F8">
        <w:rPr>
          <w:rFonts w:ascii="Times New Roman" w:hAnsi="Times New Roman" w:cs="Times New Roman"/>
          <w:sz w:val="28"/>
          <w:szCs w:val="28"/>
        </w:rPr>
        <w:t xml:space="preserve">В целях формирования  положительного образа предпринимателя, популяризации роли предпринимательства планируется производство соответствующих теле и радиопрограмм, размещение публикаций в средствах массовой информации, проведение выставочно-ярмарочных мероприятий. </w:t>
      </w:r>
      <w:proofErr w:type="gramEnd"/>
    </w:p>
    <w:p w:rsidR="00302443" w:rsidRPr="00EC20F8" w:rsidRDefault="00302443" w:rsidP="000663EB">
      <w:pPr>
        <w:pStyle w:val="1"/>
        <w:ind w:firstLine="709"/>
      </w:pPr>
    </w:p>
    <w:p w:rsidR="007A3A38" w:rsidRPr="00EC20F8" w:rsidRDefault="007A3A38" w:rsidP="000663EB">
      <w:pPr>
        <w:pStyle w:val="1"/>
        <w:ind w:firstLine="709"/>
      </w:pPr>
      <w:bookmarkStart w:id="84" w:name="_Toc400529672"/>
    </w:p>
    <w:p w:rsidR="007A3A38" w:rsidRPr="00EC20F8" w:rsidRDefault="007A3A38" w:rsidP="000663EB">
      <w:pPr>
        <w:pStyle w:val="1"/>
        <w:ind w:firstLine="709"/>
      </w:pPr>
    </w:p>
    <w:p w:rsidR="007A3A38" w:rsidRPr="00EC20F8" w:rsidRDefault="007A3A38" w:rsidP="000663EB">
      <w:pPr>
        <w:pStyle w:val="1"/>
        <w:ind w:firstLine="709"/>
      </w:pPr>
    </w:p>
    <w:p w:rsidR="000663EB" w:rsidRPr="00EC20F8" w:rsidRDefault="000663EB" w:rsidP="000663EB">
      <w:pPr>
        <w:pStyle w:val="1"/>
        <w:ind w:firstLine="709"/>
      </w:pPr>
      <w:r w:rsidRPr="00EC20F8">
        <w:t>11. Социальная поддержка населения</w:t>
      </w:r>
      <w:bookmarkEnd w:id="84"/>
    </w:p>
    <w:p w:rsidR="000663EB" w:rsidRPr="00EC20F8" w:rsidRDefault="000663EB" w:rsidP="000663EB">
      <w:pPr>
        <w:ind w:firstLine="709"/>
      </w:pPr>
    </w:p>
    <w:p w:rsidR="00FC1995" w:rsidRPr="00EC20F8" w:rsidRDefault="00FC1995" w:rsidP="00FC1995">
      <w:pPr>
        <w:spacing w:line="240" w:lineRule="auto"/>
        <w:ind w:firstLine="709"/>
        <w:jc w:val="both"/>
        <w:rPr>
          <w:rFonts w:ascii="Times New Roman" w:hAnsi="Times New Roman" w:cs="Times New Roman"/>
          <w:sz w:val="28"/>
          <w:szCs w:val="28"/>
        </w:rPr>
      </w:pPr>
      <w:bookmarkStart w:id="85" w:name="_Toc368988894"/>
      <w:r w:rsidRPr="00EC20F8">
        <w:rPr>
          <w:rFonts w:ascii="Times New Roman" w:hAnsi="Times New Roman" w:cs="Times New Roman"/>
          <w:sz w:val="28"/>
          <w:szCs w:val="28"/>
        </w:rPr>
        <w:t>Администрация городского округа осуществляет социальную поддержку населения в рамках реализации государственных полномочий, дополненных муниципальными мерами социальной поддержки граждан.</w:t>
      </w:r>
    </w:p>
    <w:p w:rsidR="00FC1995" w:rsidRPr="00EC20F8" w:rsidRDefault="00FC1995" w:rsidP="00FC1995">
      <w:pPr>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Меры социальной поддержки населения, предусмотренные законодательством Российской Федерации, не в полной мере обеспечивают потребность малоимущих категорий граждан в оказании социальной помощи, не всегда учитывают специфику местной социально-экономической, демографической ситуации, климатических условий проживания.</w:t>
      </w:r>
      <w:proofErr w:type="gramEnd"/>
    </w:p>
    <w:p w:rsidR="00FC1995" w:rsidRPr="00EC20F8" w:rsidRDefault="00FC1995" w:rsidP="00FC1995">
      <w:pPr>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В целях обеспечения на муниципальном уровне системы адресной социально-экономической поддержки малообеспеченных категорий населения, социальной стабильности и роста возможностей удовлетворения жизненно важных потребностей пожилых людей, инвалидов, малообеспеченных семей с несовершеннолетними детьми и детьми-инвалидами, в городском округе разработана муниципальная адресная система дополнительных мер социальной поддержки отдельных категорий граждан.</w:t>
      </w:r>
      <w:proofErr w:type="gramEnd"/>
      <w:r w:rsidRPr="00EC20F8">
        <w:rPr>
          <w:rFonts w:ascii="Times New Roman" w:hAnsi="Times New Roman" w:cs="Times New Roman"/>
          <w:sz w:val="28"/>
          <w:szCs w:val="28"/>
        </w:rPr>
        <w:t xml:space="preserve"> Особое внимание при разработке уделено социально-экономической поддержке семьям с несовершеннолетними детьми и с детьми-инвалидами.</w:t>
      </w:r>
    </w:p>
    <w:p w:rsidR="00FC1995" w:rsidRPr="00EC20F8" w:rsidRDefault="00FC1995" w:rsidP="00FC1995">
      <w:pPr>
        <w:ind w:firstLine="709"/>
        <w:jc w:val="both"/>
        <w:rPr>
          <w:rFonts w:ascii="Times New Roman" w:hAnsi="Times New Roman" w:cs="Times New Roman"/>
          <w:sz w:val="28"/>
          <w:szCs w:val="28"/>
        </w:rPr>
      </w:pPr>
      <w:r w:rsidRPr="00EC20F8">
        <w:rPr>
          <w:rFonts w:ascii="Times New Roman" w:hAnsi="Times New Roman" w:cs="Times New Roman"/>
          <w:sz w:val="28"/>
          <w:szCs w:val="28"/>
        </w:rPr>
        <w:t>Оказание социальной поддержки населению на территории городского округа осуществляется по следующим направлениям:</w:t>
      </w:r>
    </w:p>
    <w:p w:rsidR="00FC1995" w:rsidRPr="00EC20F8" w:rsidRDefault="00FC1995" w:rsidP="00FC1995">
      <w:pPr>
        <w:ind w:firstLine="709"/>
        <w:jc w:val="both"/>
        <w:rPr>
          <w:rFonts w:ascii="Times New Roman" w:hAnsi="Times New Roman" w:cs="Times New Roman"/>
          <w:sz w:val="28"/>
          <w:szCs w:val="28"/>
        </w:rPr>
      </w:pPr>
      <w:r w:rsidRPr="00EC20F8">
        <w:rPr>
          <w:rFonts w:ascii="Times New Roman" w:hAnsi="Times New Roman" w:cs="Times New Roman"/>
          <w:sz w:val="28"/>
          <w:szCs w:val="28"/>
        </w:rPr>
        <w:t>1) Реализация переданных на исполнение государственных полномочий Камчатского края по социальному обслуживанию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w:t>
      </w:r>
    </w:p>
    <w:p w:rsidR="00FC1995" w:rsidRPr="00EC20F8" w:rsidRDefault="00FC1995" w:rsidP="00FC1995">
      <w:pPr>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2) Реализация переданных на исполнение отдельных государственных полномочий Камчатского края по организации и осуществлению деятельности по опеке и попечительству в Камчатском крае, а также по предоставлению дополнительной меры социальной поддержки по содержанию отдельных лиц из числа детей-сирот и детей, оставшихся без попечения родителей</w:t>
      </w:r>
      <w:bookmarkStart w:id="86" w:name="sub_21"/>
      <w:r w:rsidRPr="00EC20F8">
        <w:rPr>
          <w:rFonts w:ascii="Times New Roman" w:hAnsi="Times New Roman" w:cs="Times New Roman"/>
          <w:sz w:val="28"/>
          <w:szCs w:val="28"/>
        </w:rPr>
        <w:t xml:space="preserve"> в части:</w:t>
      </w:r>
      <w:proofErr w:type="gramEnd"/>
    </w:p>
    <w:p w:rsidR="00FC1995" w:rsidRPr="00EC20F8" w:rsidRDefault="00FC1995" w:rsidP="00FC1995">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выплаты ежемесячной оплаты труда приёмным родителям; </w:t>
      </w:r>
      <w:bookmarkStart w:id="87" w:name="sub_23"/>
      <w:bookmarkEnd w:id="86"/>
    </w:p>
    <w:p w:rsidR="00FC1995" w:rsidRPr="00EC20F8" w:rsidRDefault="00FC1995" w:rsidP="00FC1995">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начисления и выплаты опекунам (попечителям) или приемным родителям денежных средств на содержание детей-сирот и детей, оставшихся без попечения родителей, находящихся под опекой (попечительством) или переданных на воспитание в приёмные семьи; </w:t>
      </w:r>
      <w:bookmarkStart w:id="88" w:name="sub_24"/>
      <w:bookmarkEnd w:id="87"/>
    </w:p>
    <w:p w:rsidR="00FC1995" w:rsidRPr="00EC20F8" w:rsidRDefault="00FC1995" w:rsidP="00FC1995">
      <w:pPr>
        <w:ind w:firstLine="709"/>
        <w:jc w:val="both"/>
        <w:rPr>
          <w:rFonts w:ascii="Times New Roman" w:hAnsi="Times New Roman" w:cs="Times New Roman"/>
          <w:sz w:val="28"/>
          <w:szCs w:val="28"/>
        </w:rPr>
      </w:pPr>
      <w:r w:rsidRPr="00EC20F8">
        <w:rPr>
          <w:rFonts w:ascii="Times New Roman" w:hAnsi="Times New Roman" w:cs="Times New Roman"/>
          <w:sz w:val="28"/>
          <w:szCs w:val="28"/>
        </w:rPr>
        <w:t>- начисления и выплаты денежных средств на реализацию иных дополнительных гарантий и дополнительных видов социальной поддержки в сфере деятельности по опеке и попечительству в соответствии с законодательством и подзаконными актами Российской Федерации и Камчатского края</w:t>
      </w:r>
      <w:bookmarkEnd w:id="88"/>
      <w:r w:rsidRPr="00EC20F8">
        <w:rPr>
          <w:rFonts w:ascii="Times New Roman" w:hAnsi="Times New Roman" w:cs="Times New Roman"/>
          <w:sz w:val="28"/>
          <w:szCs w:val="28"/>
        </w:rPr>
        <w:t>.</w:t>
      </w:r>
    </w:p>
    <w:p w:rsidR="00FC1995" w:rsidRPr="00EC20F8" w:rsidRDefault="00FC1995" w:rsidP="00FC1995">
      <w:pPr>
        <w:ind w:firstLine="709"/>
        <w:jc w:val="both"/>
        <w:rPr>
          <w:rFonts w:ascii="Times New Roman" w:hAnsi="Times New Roman" w:cs="Times New Roman"/>
          <w:sz w:val="28"/>
          <w:szCs w:val="28"/>
        </w:rPr>
      </w:pPr>
      <w:r w:rsidRPr="00EC20F8">
        <w:rPr>
          <w:rFonts w:ascii="Times New Roman" w:hAnsi="Times New Roman" w:cs="Times New Roman"/>
          <w:sz w:val="28"/>
          <w:szCs w:val="28"/>
        </w:rPr>
        <w:t>3) Реализация переданных на исполнение государственных полномочий Камчатского края по выплате компенсации части платы за содержание ребенка в государственных и муниципальных дошкольных учреждениях.</w:t>
      </w:r>
    </w:p>
    <w:p w:rsidR="00FC1995" w:rsidRPr="00EC20F8" w:rsidRDefault="00FC1995" w:rsidP="00DD4B97">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4) Предоставление мер социальной поддержки отдельным категориям граждан в соответствии с Решениями Городской Думы </w:t>
      </w:r>
      <w:proofErr w:type="gramStart"/>
      <w:r w:rsidRPr="00EC20F8">
        <w:rPr>
          <w:rFonts w:ascii="Times New Roman" w:hAnsi="Times New Roman" w:cs="Times New Roman"/>
          <w:sz w:val="28"/>
          <w:szCs w:val="28"/>
        </w:rPr>
        <w:t>Петропавловск-Камчатского</w:t>
      </w:r>
      <w:proofErr w:type="gramEnd"/>
      <w:r w:rsidRPr="00EC20F8">
        <w:rPr>
          <w:rFonts w:ascii="Times New Roman" w:hAnsi="Times New Roman" w:cs="Times New Roman"/>
          <w:sz w:val="28"/>
          <w:szCs w:val="28"/>
        </w:rPr>
        <w:t xml:space="preserve"> городского округа.</w:t>
      </w:r>
    </w:p>
    <w:p w:rsidR="009F2FE3" w:rsidRPr="00EC20F8" w:rsidRDefault="00FC1995" w:rsidP="00DD4B97">
      <w:pPr>
        <w:tabs>
          <w:tab w:val="left" w:pos="459"/>
        </w:tabs>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b/>
          <w:i/>
          <w:sz w:val="28"/>
          <w:szCs w:val="28"/>
        </w:rPr>
        <w:t>В среднесрочной перспективе</w:t>
      </w:r>
      <w:r w:rsidRPr="00EC20F8">
        <w:rPr>
          <w:rFonts w:ascii="Times New Roman" w:hAnsi="Times New Roman" w:cs="Times New Roman"/>
          <w:sz w:val="28"/>
          <w:szCs w:val="28"/>
        </w:rPr>
        <w:t xml:space="preserve"> администрация </w:t>
      </w:r>
      <w:proofErr w:type="spellStart"/>
      <w:r w:rsidRPr="00EC20F8">
        <w:rPr>
          <w:rFonts w:ascii="Times New Roman" w:hAnsi="Times New Roman" w:cs="Times New Roman"/>
          <w:sz w:val="28"/>
          <w:szCs w:val="28"/>
        </w:rPr>
        <w:t>Петропавловск-Камчатского</w:t>
      </w:r>
      <w:proofErr w:type="spellEnd"/>
      <w:r w:rsidRPr="00EC20F8">
        <w:rPr>
          <w:rFonts w:ascii="Times New Roman" w:hAnsi="Times New Roman" w:cs="Times New Roman"/>
          <w:sz w:val="28"/>
          <w:szCs w:val="28"/>
        </w:rPr>
        <w:t xml:space="preserve"> городского округа </w:t>
      </w:r>
      <w:r w:rsidR="00CD60FA" w:rsidRPr="00EC20F8">
        <w:rPr>
          <w:rFonts w:ascii="Times New Roman" w:hAnsi="Times New Roman" w:cs="Times New Roman"/>
          <w:sz w:val="28"/>
          <w:szCs w:val="28"/>
        </w:rPr>
        <w:t xml:space="preserve">продолжит развивать систему муниципальной социальной поддержки с целью повышения качества жизни граждан, оказавшихся в трудной жизненной ситуации </w:t>
      </w:r>
      <w:r w:rsidRPr="00EC20F8">
        <w:rPr>
          <w:rFonts w:ascii="Times New Roman" w:hAnsi="Times New Roman" w:cs="Times New Roman"/>
          <w:sz w:val="28"/>
          <w:szCs w:val="28"/>
        </w:rPr>
        <w:t xml:space="preserve">в </w:t>
      </w:r>
      <w:r w:rsidR="00CD60FA" w:rsidRPr="00EC20F8">
        <w:rPr>
          <w:rFonts w:ascii="Times New Roman" w:hAnsi="Times New Roman" w:cs="Times New Roman"/>
          <w:sz w:val="28"/>
          <w:szCs w:val="28"/>
        </w:rPr>
        <w:t xml:space="preserve">соответствии с </w:t>
      </w:r>
      <w:r w:rsidRPr="00EC20F8">
        <w:rPr>
          <w:rFonts w:ascii="Times New Roman" w:hAnsi="Times New Roman" w:cs="Times New Roman"/>
          <w:sz w:val="28"/>
          <w:szCs w:val="28"/>
        </w:rPr>
        <w:t>предоставленны</w:t>
      </w:r>
      <w:r w:rsidR="00CD60FA" w:rsidRPr="00EC20F8">
        <w:rPr>
          <w:rFonts w:ascii="Times New Roman" w:hAnsi="Times New Roman" w:cs="Times New Roman"/>
          <w:sz w:val="28"/>
          <w:szCs w:val="28"/>
        </w:rPr>
        <w:t>ми</w:t>
      </w:r>
      <w:r w:rsidRPr="00EC20F8">
        <w:rPr>
          <w:rFonts w:ascii="Times New Roman" w:hAnsi="Times New Roman" w:cs="Times New Roman"/>
          <w:sz w:val="28"/>
          <w:szCs w:val="28"/>
        </w:rPr>
        <w:t xml:space="preserve"> полномочи</w:t>
      </w:r>
      <w:r w:rsidR="00DD4B97" w:rsidRPr="00EC20F8">
        <w:rPr>
          <w:rFonts w:ascii="Times New Roman" w:hAnsi="Times New Roman" w:cs="Times New Roman"/>
          <w:sz w:val="28"/>
          <w:szCs w:val="28"/>
        </w:rPr>
        <w:t xml:space="preserve">ями в рамках муниципальной программы </w:t>
      </w:r>
      <w:r w:rsidR="00DD4B97" w:rsidRPr="00EC20F8">
        <w:rPr>
          <w:sz w:val="28"/>
          <w:szCs w:val="28"/>
        </w:rPr>
        <w:t>«</w:t>
      </w:r>
      <w:r w:rsidR="00DD4B97" w:rsidRPr="00EC20F8">
        <w:rPr>
          <w:rFonts w:ascii="Times New Roman" w:hAnsi="Times New Roman" w:cs="Times New Roman"/>
          <w:sz w:val="28"/>
          <w:szCs w:val="28"/>
        </w:rPr>
        <w:t xml:space="preserve">Развитие образования и социальная поддержка граждан в </w:t>
      </w:r>
      <w:proofErr w:type="spellStart"/>
      <w:r w:rsidR="00DD4B97" w:rsidRPr="00EC20F8">
        <w:rPr>
          <w:rFonts w:ascii="Times New Roman" w:hAnsi="Times New Roman" w:cs="Times New Roman"/>
          <w:sz w:val="28"/>
          <w:szCs w:val="28"/>
        </w:rPr>
        <w:t>Петропавловск-Камчатском</w:t>
      </w:r>
      <w:proofErr w:type="spellEnd"/>
      <w:r w:rsidR="00DD4B97" w:rsidRPr="00EC20F8">
        <w:rPr>
          <w:rFonts w:ascii="Times New Roman" w:hAnsi="Times New Roman" w:cs="Times New Roman"/>
          <w:sz w:val="28"/>
          <w:szCs w:val="28"/>
        </w:rPr>
        <w:t xml:space="preserve"> городском округе» (подпрограмма 3 «Реализация социальной политики городского округа».</w:t>
      </w:r>
      <w:proofErr w:type="gramEnd"/>
      <w:r w:rsidR="00F82481" w:rsidRPr="00EC20F8">
        <w:rPr>
          <w:rFonts w:ascii="Times New Roman" w:hAnsi="Times New Roman" w:cs="Times New Roman"/>
          <w:sz w:val="28"/>
          <w:szCs w:val="28"/>
        </w:rPr>
        <w:t xml:space="preserve"> </w:t>
      </w:r>
      <w:r w:rsidR="009F2FE3" w:rsidRPr="00EC20F8">
        <w:rPr>
          <w:rFonts w:ascii="Times New Roman" w:hAnsi="Times New Roman" w:cs="Times New Roman"/>
          <w:sz w:val="28"/>
          <w:szCs w:val="28"/>
        </w:rPr>
        <w:t>В рамках указанной муниципальной программы п</w:t>
      </w:r>
      <w:r w:rsidR="00CD60FA" w:rsidRPr="00EC20F8">
        <w:rPr>
          <w:rFonts w:ascii="Times New Roman" w:hAnsi="Times New Roman" w:cs="Times New Roman"/>
          <w:sz w:val="28"/>
          <w:szCs w:val="28"/>
        </w:rPr>
        <w:t>ланируется продолжи</w:t>
      </w:r>
      <w:r w:rsidR="00DD4B97" w:rsidRPr="00EC20F8">
        <w:rPr>
          <w:rFonts w:ascii="Times New Roman" w:hAnsi="Times New Roman" w:cs="Times New Roman"/>
          <w:sz w:val="28"/>
          <w:szCs w:val="28"/>
        </w:rPr>
        <w:t>ть</w:t>
      </w:r>
      <w:r w:rsidR="009F2FE3" w:rsidRPr="00EC20F8">
        <w:rPr>
          <w:rFonts w:ascii="Times New Roman" w:hAnsi="Times New Roman" w:cs="Times New Roman"/>
          <w:sz w:val="28"/>
          <w:szCs w:val="28"/>
        </w:rPr>
        <w:t>:</w:t>
      </w:r>
    </w:p>
    <w:p w:rsidR="00F82481" w:rsidRPr="00EC20F8" w:rsidRDefault="009F2FE3" w:rsidP="00F82481">
      <w:pPr>
        <w:tabs>
          <w:tab w:val="left" w:pos="459"/>
        </w:tabs>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о</w:t>
      </w:r>
      <w:r w:rsidR="00CD60FA" w:rsidRPr="00EC20F8">
        <w:rPr>
          <w:rFonts w:ascii="Times New Roman" w:hAnsi="Times New Roman" w:cs="Times New Roman"/>
          <w:sz w:val="28"/>
          <w:szCs w:val="28"/>
        </w:rPr>
        <w:t xml:space="preserve">существление переданных государственных полномочий Камчатского края по социальному обслуживанию граждан пожилого возраста и инвалидов, граждан, находящихся в трудной жизненной ситуации, а также </w:t>
      </w:r>
      <w:r w:rsidR="00F82481" w:rsidRPr="00EC20F8">
        <w:rPr>
          <w:rFonts w:ascii="Times New Roman" w:hAnsi="Times New Roman" w:cs="Times New Roman"/>
          <w:sz w:val="28"/>
          <w:szCs w:val="28"/>
        </w:rPr>
        <w:t>осуществление деятельности по опеке и попечительству, в том числе выполнение государственных полномочий Камчатского края по организации и осуществлению деятельности по опеке и попечительству в Камчатском крае;</w:t>
      </w:r>
      <w:proofErr w:type="gramEnd"/>
    </w:p>
    <w:p w:rsidR="009F2FE3" w:rsidRPr="00EC20F8" w:rsidRDefault="009F2FE3" w:rsidP="00DD4B97">
      <w:pPr>
        <w:tabs>
          <w:tab w:val="left" w:pos="459"/>
        </w:tabs>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реализация социальной политики в городском округе в соответствии с действующими муниципальными нормативными актами.</w:t>
      </w:r>
    </w:p>
    <w:p w:rsidR="00FC1995" w:rsidRPr="00EC20F8" w:rsidRDefault="009F2FE3" w:rsidP="00FC1995">
      <w:pPr>
        <w:spacing w:line="240" w:lineRule="auto"/>
        <w:ind w:firstLine="709"/>
        <w:jc w:val="both"/>
        <w:rPr>
          <w:rFonts w:ascii="Times New Roman" w:hAnsi="Times New Roman" w:cs="Times New Roman"/>
          <w:sz w:val="28"/>
          <w:szCs w:val="28"/>
        </w:rPr>
      </w:pPr>
      <w:r w:rsidRPr="00EC20F8">
        <w:rPr>
          <w:sz w:val="28"/>
          <w:szCs w:val="28"/>
        </w:rPr>
        <w:t xml:space="preserve"> </w:t>
      </w:r>
      <w:r w:rsidR="00FC1995" w:rsidRPr="00EC20F8">
        <w:rPr>
          <w:rFonts w:ascii="Times New Roman" w:hAnsi="Times New Roman" w:cs="Times New Roman"/>
          <w:sz w:val="28"/>
          <w:szCs w:val="28"/>
        </w:rPr>
        <w:t>За счёт средств бюджета городского округа в 2015-2017 годах планируется предоставить следующие меры муниципальной социальной поддержки:</w:t>
      </w:r>
    </w:p>
    <w:p w:rsidR="00FC1995" w:rsidRPr="00EC20F8" w:rsidRDefault="00FC1995" w:rsidP="00FC1995">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меры муниципальной социальной поддержки в соответствии с Решением Городской Думы </w:t>
      </w:r>
      <w:proofErr w:type="gramStart"/>
      <w:r w:rsidRPr="00EC20F8">
        <w:rPr>
          <w:rFonts w:ascii="Times New Roman" w:hAnsi="Times New Roman" w:cs="Times New Roman"/>
          <w:sz w:val="28"/>
          <w:szCs w:val="28"/>
        </w:rPr>
        <w:t>Петропавловск-Камчатского</w:t>
      </w:r>
      <w:proofErr w:type="gramEnd"/>
      <w:r w:rsidRPr="00EC20F8">
        <w:rPr>
          <w:rFonts w:ascii="Times New Roman" w:hAnsi="Times New Roman" w:cs="Times New Roman"/>
          <w:sz w:val="28"/>
          <w:szCs w:val="28"/>
        </w:rPr>
        <w:t xml:space="preserve"> городского округа от 03.09.2009 № 157-нд «О мерах муниципальной социальной поддержки отдельным категориям граждан, проживающим на территории Петропавловск-Камчатского городского округа». </w:t>
      </w:r>
    </w:p>
    <w:p w:rsidR="00FC1995" w:rsidRPr="00EC20F8" w:rsidRDefault="00FC1995" w:rsidP="00FC1995">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В 2013 году поддержку получили 11 947 человек, объем предоставленных мер социальной поддержки составил 29 011,61 тыс. рублей. </w:t>
      </w:r>
    </w:p>
    <w:p w:rsidR="00FC1995" w:rsidRPr="00EC20F8" w:rsidRDefault="00FC1995" w:rsidP="00FC1995">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По оценке в 2014 году объем предоставленных мер составит не менее </w:t>
      </w:r>
      <w:r w:rsidR="00AD14BF" w:rsidRPr="00EC20F8">
        <w:rPr>
          <w:rFonts w:ascii="Times New Roman" w:hAnsi="Times New Roman" w:cs="Times New Roman"/>
          <w:sz w:val="28"/>
          <w:szCs w:val="28"/>
        </w:rPr>
        <w:t>34 772,0</w:t>
      </w:r>
      <w:r w:rsidRPr="00EC20F8">
        <w:rPr>
          <w:rFonts w:ascii="Times New Roman" w:hAnsi="Times New Roman" w:cs="Times New Roman"/>
          <w:sz w:val="28"/>
          <w:szCs w:val="28"/>
        </w:rPr>
        <w:t xml:space="preserve"> тыс. рублей. По прогнозу на 2015-2017 годы </w:t>
      </w:r>
      <w:r w:rsidR="00AD14BF" w:rsidRPr="00EC20F8">
        <w:rPr>
          <w:rFonts w:ascii="Times New Roman" w:hAnsi="Times New Roman" w:cs="Times New Roman"/>
          <w:sz w:val="28"/>
          <w:szCs w:val="28"/>
        </w:rPr>
        <w:t xml:space="preserve">не </w:t>
      </w:r>
      <w:r w:rsidRPr="00EC20F8">
        <w:rPr>
          <w:rFonts w:ascii="Times New Roman" w:hAnsi="Times New Roman" w:cs="Times New Roman"/>
          <w:sz w:val="28"/>
          <w:szCs w:val="28"/>
        </w:rPr>
        <w:t xml:space="preserve">запланировано </w:t>
      </w:r>
      <w:r w:rsidR="00AD14BF" w:rsidRPr="00EC20F8">
        <w:rPr>
          <w:rFonts w:ascii="Times New Roman" w:hAnsi="Times New Roman" w:cs="Times New Roman"/>
          <w:sz w:val="28"/>
          <w:szCs w:val="28"/>
        </w:rPr>
        <w:t>увеличение числа получателей поддержки</w:t>
      </w:r>
      <w:r w:rsidRPr="00EC20F8">
        <w:rPr>
          <w:rFonts w:ascii="Times New Roman" w:hAnsi="Times New Roman" w:cs="Times New Roman"/>
          <w:sz w:val="28"/>
          <w:szCs w:val="28"/>
        </w:rPr>
        <w:t xml:space="preserve"> в связи с увеличением пакета необходимых документов для предоставлен</w:t>
      </w:r>
      <w:r w:rsidR="00943C4B" w:rsidRPr="00EC20F8">
        <w:rPr>
          <w:rFonts w:ascii="Times New Roman" w:hAnsi="Times New Roman" w:cs="Times New Roman"/>
          <w:sz w:val="28"/>
          <w:szCs w:val="28"/>
        </w:rPr>
        <w:t>ия материальной помощи</w:t>
      </w:r>
      <w:r w:rsidRPr="00EC20F8">
        <w:rPr>
          <w:rFonts w:ascii="Times New Roman" w:hAnsi="Times New Roman" w:cs="Times New Roman"/>
          <w:sz w:val="28"/>
          <w:szCs w:val="28"/>
        </w:rPr>
        <w:t xml:space="preserve">. </w:t>
      </w:r>
    </w:p>
    <w:p w:rsidR="00943C4B" w:rsidRPr="00EC20F8" w:rsidRDefault="00943C4B" w:rsidP="00AD14BF">
      <w:pPr>
        <w:jc w:val="both"/>
        <w:rPr>
          <w:rFonts w:ascii="Times New Roman" w:hAnsi="Times New Roman" w:cs="Times New Roman"/>
          <w:sz w:val="28"/>
          <w:szCs w:val="28"/>
        </w:rPr>
      </w:pPr>
    </w:p>
    <w:tbl>
      <w:tblPr>
        <w:tblW w:w="5000" w:type="pct"/>
        <w:tblLook w:val="0000"/>
      </w:tblPr>
      <w:tblGrid>
        <w:gridCol w:w="1694"/>
        <w:gridCol w:w="3275"/>
        <w:gridCol w:w="4602"/>
      </w:tblGrid>
      <w:tr w:rsidR="00FC1995" w:rsidRPr="00EC20F8" w:rsidTr="008D1046">
        <w:trPr>
          <w:trHeight w:val="620"/>
        </w:trPr>
        <w:tc>
          <w:tcPr>
            <w:tcW w:w="885"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Год</w:t>
            </w:r>
          </w:p>
        </w:tc>
        <w:tc>
          <w:tcPr>
            <w:tcW w:w="1711"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Количество получателей</w:t>
            </w:r>
          </w:p>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(чел.)</w:t>
            </w:r>
          </w:p>
        </w:tc>
        <w:tc>
          <w:tcPr>
            <w:tcW w:w="2404"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Меры социальной поддержки (руб.)</w:t>
            </w:r>
          </w:p>
        </w:tc>
      </w:tr>
      <w:tr w:rsidR="00FC1995" w:rsidRPr="00EC20F8" w:rsidTr="008D1046">
        <w:trPr>
          <w:trHeight w:val="317"/>
        </w:trPr>
        <w:tc>
          <w:tcPr>
            <w:tcW w:w="885"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 xml:space="preserve">6 мес. 2014 </w:t>
            </w:r>
          </w:p>
        </w:tc>
        <w:tc>
          <w:tcPr>
            <w:tcW w:w="1711"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5676</w:t>
            </w:r>
          </w:p>
        </w:tc>
        <w:tc>
          <w:tcPr>
            <w:tcW w:w="2404" w:type="pct"/>
            <w:tcBorders>
              <w:top w:val="single" w:sz="4" w:space="0" w:color="auto"/>
              <w:left w:val="single" w:sz="4" w:space="0" w:color="auto"/>
              <w:bottom w:val="single" w:sz="4" w:space="0" w:color="auto"/>
              <w:right w:val="single" w:sz="4" w:space="0" w:color="auto"/>
            </w:tcBorders>
          </w:tcPr>
          <w:p w:rsidR="00FC1995" w:rsidRPr="00EC20F8" w:rsidRDefault="00AD14BF"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 xml:space="preserve">14 087 </w:t>
            </w:r>
            <w:r w:rsidR="00FC1995" w:rsidRPr="00EC20F8">
              <w:rPr>
                <w:rFonts w:ascii="Times New Roman" w:hAnsi="Times New Roman" w:cs="Times New Roman"/>
                <w:sz w:val="24"/>
                <w:szCs w:val="24"/>
              </w:rPr>
              <w:t>500,00</w:t>
            </w:r>
          </w:p>
        </w:tc>
      </w:tr>
      <w:tr w:rsidR="00FC1995" w:rsidRPr="00EC20F8" w:rsidTr="008D1046">
        <w:trPr>
          <w:trHeight w:val="317"/>
        </w:trPr>
        <w:tc>
          <w:tcPr>
            <w:tcW w:w="885"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 xml:space="preserve">Оценка 2014 </w:t>
            </w:r>
          </w:p>
        </w:tc>
        <w:tc>
          <w:tcPr>
            <w:tcW w:w="1711"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14000</w:t>
            </w:r>
          </w:p>
        </w:tc>
        <w:tc>
          <w:tcPr>
            <w:tcW w:w="2404" w:type="pct"/>
            <w:tcBorders>
              <w:top w:val="single" w:sz="4" w:space="0" w:color="auto"/>
              <w:left w:val="single" w:sz="4" w:space="0" w:color="auto"/>
              <w:bottom w:val="single" w:sz="4" w:space="0" w:color="auto"/>
              <w:right w:val="single" w:sz="4" w:space="0" w:color="auto"/>
            </w:tcBorders>
          </w:tcPr>
          <w:p w:rsidR="00FC1995" w:rsidRPr="00EC20F8" w:rsidRDefault="00AD14BF"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34 772 000,00</w:t>
            </w:r>
            <w:r w:rsidR="00FC1995" w:rsidRPr="00EC20F8">
              <w:rPr>
                <w:rFonts w:ascii="Times New Roman" w:hAnsi="Times New Roman" w:cs="Times New Roman"/>
                <w:sz w:val="24"/>
                <w:szCs w:val="24"/>
              </w:rPr>
              <w:t xml:space="preserve"> </w:t>
            </w:r>
          </w:p>
        </w:tc>
      </w:tr>
      <w:tr w:rsidR="00FC1995" w:rsidRPr="00EC20F8" w:rsidTr="008D1046">
        <w:trPr>
          <w:trHeight w:val="317"/>
        </w:trPr>
        <w:tc>
          <w:tcPr>
            <w:tcW w:w="885"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2015</w:t>
            </w:r>
          </w:p>
        </w:tc>
        <w:tc>
          <w:tcPr>
            <w:tcW w:w="1711"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14000</w:t>
            </w:r>
          </w:p>
        </w:tc>
        <w:tc>
          <w:tcPr>
            <w:tcW w:w="2404" w:type="pct"/>
            <w:tcBorders>
              <w:top w:val="single" w:sz="4" w:space="0" w:color="auto"/>
              <w:left w:val="single" w:sz="4" w:space="0" w:color="auto"/>
              <w:bottom w:val="single" w:sz="4" w:space="0" w:color="auto"/>
              <w:right w:val="single" w:sz="4" w:space="0" w:color="auto"/>
            </w:tcBorders>
          </w:tcPr>
          <w:p w:rsidR="00FC1995" w:rsidRPr="00EC20F8" w:rsidRDefault="00FC1995" w:rsidP="00AD14BF">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4</w:t>
            </w:r>
            <w:r w:rsidR="00AD14BF" w:rsidRPr="00EC20F8">
              <w:rPr>
                <w:rFonts w:ascii="Times New Roman" w:hAnsi="Times New Roman" w:cs="Times New Roman"/>
                <w:sz w:val="24"/>
                <w:szCs w:val="24"/>
              </w:rPr>
              <w:t>1</w:t>
            </w:r>
            <w:r w:rsidRPr="00EC20F8">
              <w:rPr>
                <w:rFonts w:ascii="Times New Roman" w:hAnsi="Times New Roman" w:cs="Times New Roman"/>
                <w:sz w:val="24"/>
                <w:szCs w:val="24"/>
              </w:rPr>
              <w:t xml:space="preserve"> 17</w:t>
            </w:r>
            <w:r w:rsidR="00AD14BF" w:rsidRPr="00EC20F8">
              <w:rPr>
                <w:rFonts w:ascii="Times New Roman" w:hAnsi="Times New Roman" w:cs="Times New Roman"/>
                <w:sz w:val="24"/>
                <w:szCs w:val="24"/>
              </w:rPr>
              <w:t>9</w:t>
            </w:r>
            <w:r w:rsidRPr="00EC20F8">
              <w:rPr>
                <w:rFonts w:ascii="Times New Roman" w:hAnsi="Times New Roman" w:cs="Times New Roman"/>
                <w:sz w:val="24"/>
                <w:szCs w:val="24"/>
              </w:rPr>
              <w:t xml:space="preserve"> 0</w:t>
            </w:r>
            <w:r w:rsidR="00AD14BF" w:rsidRPr="00EC20F8">
              <w:rPr>
                <w:rFonts w:ascii="Times New Roman" w:hAnsi="Times New Roman" w:cs="Times New Roman"/>
                <w:sz w:val="24"/>
                <w:szCs w:val="24"/>
              </w:rPr>
              <w:t>0</w:t>
            </w:r>
            <w:r w:rsidRPr="00EC20F8">
              <w:rPr>
                <w:rFonts w:ascii="Times New Roman" w:hAnsi="Times New Roman" w:cs="Times New Roman"/>
                <w:sz w:val="24"/>
                <w:szCs w:val="24"/>
              </w:rPr>
              <w:t xml:space="preserve">0,00 </w:t>
            </w:r>
          </w:p>
        </w:tc>
      </w:tr>
      <w:tr w:rsidR="00AD14BF" w:rsidRPr="00EC20F8" w:rsidTr="008D1046">
        <w:trPr>
          <w:trHeight w:val="317"/>
        </w:trPr>
        <w:tc>
          <w:tcPr>
            <w:tcW w:w="885" w:type="pct"/>
            <w:tcBorders>
              <w:top w:val="single" w:sz="4" w:space="0" w:color="auto"/>
              <w:left w:val="single" w:sz="4" w:space="0" w:color="auto"/>
              <w:bottom w:val="single" w:sz="4" w:space="0" w:color="auto"/>
              <w:right w:val="single" w:sz="4" w:space="0" w:color="auto"/>
            </w:tcBorders>
          </w:tcPr>
          <w:p w:rsidR="00AD14BF" w:rsidRPr="00EC20F8" w:rsidRDefault="00AD14BF"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2016</w:t>
            </w:r>
          </w:p>
        </w:tc>
        <w:tc>
          <w:tcPr>
            <w:tcW w:w="1711" w:type="pct"/>
            <w:tcBorders>
              <w:top w:val="single" w:sz="4" w:space="0" w:color="auto"/>
              <w:left w:val="single" w:sz="4" w:space="0" w:color="auto"/>
              <w:bottom w:val="single" w:sz="4" w:space="0" w:color="auto"/>
              <w:right w:val="single" w:sz="4" w:space="0" w:color="auto"/>
            </w:tcBorders>
          </w:tcPr>
          <w:p w:rsidR="00AD14BF" w:rsidRPr="00EC20F8" w:rsidRDefault="00AD14BF"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14000</w:t>
            </w:r>
          </w:p>
        </w:tc>
        <w:tc>
          <w:tcPr>
            <w:tcW w:w="2404" w:type="pct"/>
            <w:tcBorders>
              <w:top w:val="single" w:sz="4" w:space="0" w:color="auto"/>
              <w:left w:val="single" w:sz="4" w:space="0" w:color="auto"/>
              <w:bottom w:val="single" w:sz="4" w:space="0" w:color="auto"/>
              <w:right w:val="single" w:sz="4" w:space="0" w:color="auto"/>
            </w:tcBorders>
          </w:tcPr>
          <w:p w:rsidR="00AD14BF" w:rsidRPr="00EC20F8" w:rsidRDefault="00AD14BF" w:rsidP="00AD14BF">
            <w:pPr>
              <w:jc w:val="center"/>
            </w:pPr>
            <w:r w:rsidRPr="00EC20F8">
              <w:rPr>
                <w:rFonts w:ascii="Times New Roman" w:hAnsi="Times New Roman" w:cs="Times New Roman"/>
                <w:sz w:val="24"/>
                <w:szCs w:val="24"/>
              </w:rPr>
              <w:t>41 179 000,00</w:t>
            </w:r>
          </w:p>
        </w:tc>
      </w:tr>
      <w:tr w:rsidR="00AD14BF" w:rsidRPr="00EC20F8" w:rsidTr="008D1046">
        <w:trPr>
          <w:trHeight w:val="317"/>
        </w:trPr>
        <w:tc>
          <w:tcPr>
            <w:tcW w:w="885" w:type="pct"/>
            <w:tcBorders>
              <w:top w:val="single" w:sz="4" w:space="0" w:color="auto"/>
              <w:left w:val="single" w:sz="4" w:space="0" w:color="auto"/>
              <w:bottom w:val="single" w:sz="4" w:space="0" w:color="auto"/>
              <w:right w:val="single" w:sz="4" w:space="0" w:color="auto"/>
            </w:tcBorders>
          </w:tcPr>
          <w:p w:rsidR="00AD14BF" w:rsidRPr="00EC20F8" w:rsidRDefault="00AD14BF"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2017</w:t>
            </w:r>
          </w:p>
        </w:tc>
        <w:tc>
          <w:tcPr>
            <w:tcW w:w="1711" w:type="pct"/>
            <w:tcBorders>
              <w:top w:val="single" w:sz="4" w:space="0" w:color="auto"/>
              <w:left w:val="single" w:sz="4" w:space="0" w:color="auto"/>
              <w:bottom w:val="single" w:sz="4" w:space="0" w:color="auto"/>
              <w:right w:val="single" w:sz="4" w:space="0" w:color="auto"/>
            </w:tcBorders>
          </w:tcPr>
          <w:p w:rsidR="00AD14BF" w:rsidRPr="00EC20F8" w:rsidRDefault="00AD14BF"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14000</w:t>
            </w:r>
          </w:p>
        </w:tc>
        <w:tc>
          <w:tcPr>
            <w:tcW w:w="2404" w:type="pct"/>
            <w:tcBorders>
              <w:top w:val="single" w:sz="4" w:space="0" w:color="auto"/>
              <w:left w:val="single" w:sz="4" w:space="0" w:color="auto"/>
              <w:bottom w:val="single" w:sz="4" w:space="0" w:color="auto"/>
              <w:right w:val="single" w:sz="4" w:space="0" w:color="auto"/>
            </w:tcBorders>
          </w:tcPr>
          <w:p w:rsidR="00AD14BF" w:rsidRPr="00EC20F8" w:rsidRDefault="00AD14BF" w:rsidP="00AD14BF">
            <w:pPr>
              <w:jc w:val="center"/>
            </w:pPr>
            <w:r w:rsidRPr="00EC20F8">
              <w:rPr>
                <w:rFonts w:ascii="Times New Roman" w:hAnsi="Times New Roman" w:cs="Times New Roman"/>
                <w:sz w:val="24"/>
                <w:szCs w:val="24"/>
              </w:rPr>
              <w:t>41 179 000,00</w:t>
            </w:r>
          </w:p>
        </w:tc>
      </w:tr>
    </w:tbl>
    <w:p w:rsidR="00FC1995" w:rsidRPr="00EC20F8" w:rsidRDefault="00FC1995" w:rsidP="00FC1995">
      <w:pPr>
        <w:ind w:firstLine="709"/>
        <w:jc w:val="both"/>
        <w:rPr>
          <w:rFonts w:ascii="Times New Roman" w:hAnsi="Times New Roman" w:cs="Times New Roman"/>
          <w:sz w:val="10"/>
          <w:szCs w:val="10"/>
        </w:rPr>
      </w:pPr>
    </w:p>
    <w:p w:rsidR="00FC1995" w:rsidRPr="00EC20F8" w:rsidRDefault="00FC1995" w:rsidP="00FC1995">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меры муниципальной социальной поддержки в соответствии с Решением Городской Думы </w:t>
      </w:r>
      <w:proofErr w:type="gramStart"/>
      <w:r w:rsidRPr="00EC20F8">
        <w:rPr>
          <w:rFonts w:ascii="Times New Roman" w:hAnsi="Times New Roman" w:cs="Times New Roman"/>
          <w:sz w:val="28"/>
          <w:szCs w:val="28"/>
        </w:rPr>
        <w:t>Петропавловск-Камчатского</w:t>
      </w:r>
      <w:proofErr w:type="gramEnd"/>
      <w:r w:rsidRPr="00EC20F8">
        <w:rPr>
          <w:rFonts w:ascii="Times New Roman" w:hAnsi="Times New Roman" w:cs="Times New Roman"/>
          <w:sz w:val="28"/>
          <w:szCs w:val="28"/>
        </w:rPr>
        <w:t xml:space="preserve"> городского округа от 06.05.2013 № 56-нд «О мерах муниципальной социальной поддержки граждан при оплате жилого помещения и коммунальных услуг на территории Петропавловск-Камчатского городского округа». Объем предоставленных мер по оплате жилого помещения и коммунальных услуг (далее – ЖКУ) в 2013 году составил 67 699,19 тыс. рублей. </w:t>
      </w:r>
    </w:p>
    <w:p w:rsidR="00FC1995" w:rsidRPr="00EC20F8" w:rsidRDefault="00FC1995" w:rsidP="00FC1995">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По оценке в 2014 году объем предоставленных мер по оплате ЖКУ составит </w:t>
      </w:r>
      <w:r w:rsidR="00AD14BF" w:rsidRPr="00EC20F8">
        <w:rPr>
          <w:rFonts w:ascii="Times New Roman" w:hAnsi="Times New Roman" w:cs="Times New Roman"/>
          <w:sz w:val="28"/>
          <w:szCs w:val="28"/>
        </w:rPr>
        <w:t>60 836,50</w:t>
      </w:r>
      <w:r w:rsidRPr="00EC20F8">
        <w:rPr>
          <w:rFonts w:ascii="Times New Roman" w:hAnsi="Times New Roman" w:cs="Times New Roman"/>
          <w:sz w:val="28"/>
          <w:szCs w:val="28"/>
        </w:rPr>
        <w:t xml:space="preserve"> тыс. рублей. На период 2015-2017 годов </w:t>
      </w:r>
      <w:r w:rsidR="00AD14BF" w:rsidRPr="00EC20F8">
        <w:rPr>
          <w:rFonts w:ascii="Times New Roman" w:hAnsi="Times New Roman" w:cs="Times New Roman"/>
          <w:sz w:val="28"/>
          <w:szCs w:val="28"/>
        </w:rPr>
        <w:t xml:space="preserve">не </w:t>
      </w:r>
      <w:r w:rsidRPr="00EC20F8">
        <w:rPr>
          <w:rFonts w:ascii="Times New Roman" w:hAnsi="Times New Roman" w:cs="Times New Roman"/>
          <w:sz w:val="28"/>
          <w:szCs w:val="28"/>
        </w:rPr>
        <w:t xml:space="preserve">запланировано </w:t>
      </w:r>
      <w:r w:rsidR="00AD14BF" w:rsidRPr="00EC20F8">
        <w:rPr>
          <w:rFonts w:ascii="Times New Roman" w:hAnsi="Times New Roman" w:cs="Times New Roman"/>
          <w:sz w:val="28"/>
          <w:szCs w:val="28"/>
        </w:rPr>
        <w:t>увеличение числа получателей поддержки в связи с повышением уровня доходов населения</w:t>
      </w:r>
      <w:r w:rsidRPr="00EC20F8">
        <w:rPr>
          <w:rFonts w:ascii="Times New Roman" w:hAnsi="Times New Roman" w:cs="Times New Roman"/>
          <w:sz w:val="28"/>
          <w:szCs w:val="28"/>
        </w:rPr>
        <w:t>.</w:t>
      </w:r>
    </w:p>
    <w:p w:rsidR="00FC1995" w:rsidRPr="00EC20F8" w:rsidRDefault="00FC1995" w:rsidP="00FC1995">
      <w:pPr>
        <w:ind w:firstLine="709"/>
        <w:jc w:val="both"/>
        <w:rPr>
          <w:rFonts w:ascii="Times New Roman" w:hAnsi="Times New Roman" w:cs="Times New Roman"/>
          <w:sz w:val="28"/>
          <w:szCs w:val="28"/>
        </w:rPr>
      </w:pPr>
    </w:p>
    <w:tbl>
      <w:tblPr>
        <w:tblW w:w="5000" w:type="pct"/>
        <w:tblLook w:val="0000"/>
      </w:tblPr>
      <w:tblGrid>
        <w:gridCol w:w="1982"/>
        <w:gridCol w:w="3158"/>
        <w:gridCol w:w="4431"/>
      </w:tblGrid>
      <w:tr w:rsidR="00FC1995" w:rsidRPr="00EC20F8" w:rsidTr="008D1046">
        <w:trPr>
          <w:trHeight w:val="620"/>
        </w:trPr>
        <w:tc>
          <w:tcPr>
            <w:tcW w:w="1035"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Год</w:t>
            </w:r>
          </w:p>
        </w:tc>
        <w:tc>
          <w:tcPr>
            <w:tcW w:w="1650"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Количество получателей</w:t>
            </w:r>
          </w:p>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(чел.)</w:t>
            </w:r>
          </w:p>
        </w:tc>
        <w:tc>
          <w:tcPr>
            <w:tcW w:w="2315"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Меры социальной поддержки (руб.)</w:t>
            </w:r>
          </w:p>
        </w:tc>
      </w:tr>
      <w:tr w:rsidR="00FC1995" w:rsidRPr="00EC20F8" w:rsidTr="008D1046">
        <w:trPr>
          <w:trHeight w:val="317"/>
        </w:trPr>
        <w:tc>
          <w:tcPr>
            <w:tcW w:w="1035"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6 мес. 2014</w:t>
            </w:r>
          </w:p>
        </w:tc>
        <w:tc>
          <w:tcPr>
            <w:tcW w:w="1650"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9700</w:t>
            </w:r>
          </w:p>
        </w:tc>
        <w:tc>
          <w:tcPr>
            <w:tcW w:w="2315"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jc w:val="center"/>
              <w:rPr>
                <w:rFonts w:ascii="Times New Roman" w:hAnsi="Times New Roman" w:cs="Times New Roman"/>
                <w:sz w:val="24"/>
                <w:szCs w:val="24"/>
              </w:rPr>
            </w:pPr>
            <w:r w:rsidRPr="00EC20F8">
              <w:rPr>
                <w:rFonts w:ascii="Times New Roman" w:hAnsi="Times New Roman" w:cs="Times New Roman"/>
                <w:bCs/>
                <w:sz w:val="24"/>
                <w:szCs w:val="20"/>
              </w:rPr>
              <w:t>34 204 423,24</w:t>
            </w:r>
          </w:p>
        </w:tc>
      </w:tr>
      <w:tr w:rsidR="00FC1995" w:rsidRPr="00EC20F8" w:rsidTr="008D1046">
        <w:trPr>
          <w:trHeight w:val="317"/>
        </w:trPr>
        <w:tc>
          <w:tcPr>
            <w:tcW w:w="1035"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Оценка 2014</w:t>
            </w:r>
          </w:p>
        </w:tc>
        <w:tc>
          <w:tcPr>
            <w:tcW w:w="1650"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10000</w:t>
            </w:r>
          </w:p>
        </w:tc>
        <w:tc>
          <w:tcPr>
            <w:tcW w:w="2315" w:type="pct"/>
            <w:tcBorders>
              <w:top w:val="single" w:sz="4" w:space="0" w:color="auto"/>
              <w:left w:val="single" w:sz="4" w:space="0" w:color="auto"/>
              <w:bottom w:val="single" w:sz="4" w:space="0" w:color="auto"/>
              <w:right w:val="single" w:sz="4" w:space="0" w:color="auto"/>
            </w:tcBorders>
          </w:tcPr>
          <w:p w:rsidR="00FC1995" w:rsidRPr="00EC20F8" w:rsidRDefault="00AD14BF"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60 836 515,00</w:t>
            </w:r>
          </w:p>
        </w:tc>
      </w:tr>
      <w:tr w:rsidR="00FC1995" w:rsidRPr="00EC20F8" w:rsidTr="008D1046">
        <w:trPr>
          <w:trHeight w:val="317"/>
        </w:trPr>
        <w:tc>
          <w:tcPr>
            <w:tcW w:w="1035"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2015</w:t>
            </w:r>
          </w:p>
        </w:tc>
        <w:tc>
          <w:tcPr>
            <w:tcW w:w="1650"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10000</w:t>
            </w:r>
          </w:p>
        </w:tc>
        <w:tc>
          <w:tcPr>
            <w:tcW w:w="2315"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 xml:space="preserve">82 750 240,00 </w:t>
            </w:r>
          </w:p>
        </w:tc>
      </w:tr>
      <w:tr w:rsidR="00FC1995" w:rsidRPr="00EC20F8" w:rsidTr="008D1046">
        <w:trPr>
          <w:trHeight w:val="317"/>
        </w:trPr>
        <w:tc>
          <w:tcPr>
            <w:tcW w:w="1035"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2016</w:t>
            </w:r>
          </w:p>
        </w:tc>
        <w:tc>
          <w:tcPr>
            <w:tcW w:w="1650"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10000</w:t>
            </w:r>
          </w:p>
        </w:tc>
        <w:tc>
          <w:tcPr>
            <w:tcW w:w="2315"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82 750 240,00</w:t>
            </w:r>
          </w:p>
        </w:tc>
      </w:tr>
      <w:tr w:rsidR="00FC1995" w:rsidRPr="00EC20F8" w:rsidTr="008D1046">
        <w:trPr>
          <w:trHeight w:val="317"/>
        </w:trPr>
        <w:tc>
          <w:tcPr>
            <w:tcW w:w="1035"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2017</w:t>
            </w:r>
          </w:p>
        </w:tc>
        <w:tc>
          <w:tcPr>
            <w:tcW w:w="1650"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10000</w:t>
            </w:r>
          </w:p>
        </w:tc>
        <w:tc>
          <w:tcPr>
            <w:tcW w:w="2315"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82 750 240,00</w:t>
            </w:r>
          </w:p>
        </w:tc>
      </w:tr>
    </w:tbl>
    <w:p w:rsidR="00FC1995" w:rsidRPr="00EC20F8" w:rsidRDefault="00FC1995" w:rsidP="00FC1995">
      <w:pPr>
        <w:ind w:firstLine="709"/>
        <w:jc w:val="both"/>
        <w:rPr>
          <w:rFonts w:ascii="Times New Roman" w:hAnsi="Times New Roman" w:cs="Times New Roman"/>
          <w:sz w:val="28"/>
          <w:szCs w:val="28"/>
        </w:rPr>
      </w:pPr>
    </w:p>
    <w:p w:rsidR="00FC1995" w:rsidRPr="00EC20F8" w:rsidRDefault="00FC1995" w:rsidP="00FC1995">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меры муниципальной социальной поддержки в соответствии с Решением Городской Думы </w:t>
      </w:r>
      <w:proofErr w:type="gramStart"/>
      <w:r w:rsidRPr="00EC20F8">
        <w:rPr>
          <w:rFonts w:ascii="Times New Roman" w:hAnsi="Times New Roman" w:cs="Times New Roman"/>
          <w:sz w:val="28"/>
          <w:szCs w:val="28"/>
        </w:rPr>
        <w:t>Петропавловск-Камчатского</w:t>
      </w:r>
      <w:proofErr w:type="gramEnd"/>
      <w:r w:rsidRPr="00EC20F8">
        <w:rPr>
          <w:rFonts w:ascii="Times New Roman" w:hAnsi="Times New Roman" w:cs="Times New Roman"/>
          <w:sz w:val="28"/>
          <w:szCs w:val="28"/>
        </w:rPr>
        <w:t xml:space="preserve"> городского округа от 25.12.2008 № 87-нд «О мерах муниципальной социальной поддержки отдельным категориям граждан на ремонт жилых помещений в Петропавловск-Камчатском городском округе». Объем предоставленных мер на ремонт жилых помещений в 2013 году составил 4 000,00 тыс. рублей, поддержка была оказана 100 ветеранам.</w:t>
      </w:r>
    </w:p>
    <w:p w:rsidR="00FC1995" w:rsidRPr="00EC20F8" w:rsidRDefault="00FC1995" w:rsidP="00AD14BF">
      <w:pPr>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По оценке в 2014 году объем предоставленных мер составит 18 </w:t>
      </w:r>
      <w:r w:rsidR="00AD14BF" w:rsidRPr="00EC20F8">
        <w:rPr>
          <w:rFonts w:ascii="Times New Roman" w:hAnsi="Times New Roman" w:cs="Times New Roman"/>
          <w:sz w:val="28"/>
          <w:szCs w:val="28"/>
        </w:rPr>
        <w:t>600,00 тыс. рублей, э</w:t>
      </w:r>
      <w:r w:rsidRPr="00EC20F8">
        <w:rPr>
          <w:rFonts w:ascii="Times New Roman" w:hAnsi="Times New Roman" w:cs="Times New Roman"/>
          <w:sz w:val="28"/>
          <w:szCs w:val="28"/>
        </w:rPr>
        <w:t xml:space="preserve">то связано с тем, что с 2014 года </w:t>
      </w:r>
      <w:r w:rsidRPr="00EC20F8">
        <w:rPr>
          <w:rFonts w:ascii="Times New Roman" w:eastAsia="Calibri" w:hAnsi="Times New Roman" w:cs="Times New Roman"/>
          <w:sz w:val="28"/>
          <w:szCs w:val="28"/>
        </w:rPr>
        <w:t xml:space="preserve">увеличена денежная сумма для оказания муниципальной социальной поддержки </w:t>
      </w:r>
      <w:r w:rsidRPr="00EC20F8">
        <w:rPr>
          <w:rFonts w:ascii="Times New Roman" w:hAnsi="Times New Roman" w:cs="Times New Roman"/>
          <w:sz w:val="28"/>
          <w:szCs w:val="28"/>
        </w:rPr>
        <w:t xml:space="preserve">на ремонт жилых помещений </w:t>
      </w:r>
      <w:r w:rsidRPr="00EC20F8">
        <w:rPr>
          <w:rFonts w:ascii="Times New Roman" w:eastAsia="Calibri" w:hAnsi="Times New Roman" w:cs="Times New Roman"/>
          <w:sz w:val="28"/>
          <w:szCs w:val="28"/>
        </w:rPr>
        <w:t>до 60 тыс. рублей и сокращён срок периода обращения граждан до 3 лет.</w:t>
      </w:r>
      <w:r w:rsidRPr="00EC20F8">
        <w:rPr>
          <w:rFonts w:ascii="Times New Roman" w:hAnsi="Times New Roman" w:cs="Times New Roman"/>
          <w:sz w:val="28"/>
          <w:szCs w:val="28"/>
        </w:rPr>
        <w:t xml:space="preserve"> </w:t>
      </w:r>
      <w:proofErr w:type="gramEnd"/>
    </w:p>
    <w:p w:rsidR="00AD14BF" w:rsidRPr="00EC20F8" w:rsidRDefault="00AD14BF" w:rsidP="00FC1995">
      <w:pPr>
        <w:ind w:firstLine="709"/>
        <w:jc w:val="both"/>
        <w:rPr>
          <w:rFonts w:ascii="Times New Roman" w:hAnsi="Times New Roman" w:cs="Times New Roman"/>
          <w:sz w:val="28"/>
          <w:szCs w:val="28"/>
        </w:rPr>
      </w:pPr>
    </w:p>
    <w:tbl>
      <w:tblPr>
        <w:tblW w:w="5000" w:type="pct"/>
        <w:tblLayout w:type="fixed"/>
        <w:tblLook w:val="0000"/>
      </w:tblPr>
      <w:tblGrid>
        <w:gridCol w:w="1668"/>
        <w:gridCol w:w="4553"/>
        <w:gridCol w:w="3350"/>
      </w:tblGrid>
      <w:tr w:rsidR="00FC1995" w:rsidRPr="00EC20F8" w:rsidTr="008D1046">
        <w:trPr>
          <w:trHeight w:val="620"/>
        </w:trPr>
        <w:tc>
          <w:tcPr>
            <w:tcW w:w="1668"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Год</w:t>
            </w:r>
          </w:p>
        </w:tc>
        <w:tc>
          <w:tcPr>
            <w:tcW w:w="4553"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Количество получателей</w:t>
            </w:r>
          </w:p>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(чел.)</w:t>
            </w:r>
          </w:p>
        </w:tc>
        <w:tc>
          <w:tcPr>
            <w:tcW w:w="3350"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Меры социальной поддержки (руб.)</w:t>
            </w:r>
          </w:p>
        </w:tc>
      </w:tr>
      <w:tr w:rsidR="00FC1995" w:rsidRPr="00EC20F8" w:rsidTr="008D1046">
        <w:trPr>
          <w:trHeight w:val="317"/>
        </w:trPr>
        <w:tc>
          <w:tcPr>
            <w:tcW w:w="1668"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6 мес. 2014</w:t>
            </w:r>
          </w:p>
        </w:tc>
        <w:tc>
          <w:tcPr>
            <w:tcW w:w="4553"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276</w:t>
            </w:r>
          </w:p>
        </w:tc>
        <w:tc>
          <w:tcPr>
            <w:tcW w:w="3350"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16 560 000,00</w:t>
            </w:r>
          </w:p>
        </w:tc>
      </w:tr>
      <w:tr w:rsidR="00FC1995" w:rsidRPr="00EC20F8" w:rsidTr="008D1046">
        <w:trPr>
          <w:trHeight w:val="317"/>
        </w:trPr>
        <w:tc>
          <w:tcPr>
            <w:tcW w:w="1668"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Оценка 2014</w:t>
            </w:r>
          </w:p>
        </w:tc>
        <w:tc>
          <w:tcPr>
            <w:tcW w:w="4553"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300</w:t>
            </w:r>
          </w:p>
        </w:tc>
        <w:tc>
          <w:tcPr>
            <w:tcW w:w="3350" w:type="dxa"/>
            <w:tcBorders>
              <w:top w:val="single" w:sz="4" w:space="0" w:color="auto"/>
              <w:left w:val="single" w:sz="4" w:space="0" w:color="auto"/>
              <w:bottom w:val="single" w:sz="4" w:space="0" w:color="auto"/>
              <w:right w:val="single" w:sz="4" w:space="0" w:color="auto"/>
            </w:tcBorders>
          </w:tcPr>
          <w:p w:rsidR="00FC1995" w:rsidRPr="00EC20F8" w:rsidRDefault="00FC1995" w:rsidP="00AD14BF">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18 </w:t>
            </w:r>
            <w:r w:rsidR="00AD14BF" w:rsidRPr="00EC20F8">
              <w:rPr>
                <w:rFonts w:ascii="Times New Roman" w:hAnsi="Times New Roman" w:cs="Times New Roman"/>
                <w:sz w:val="24"/>
                <w:szCs w:val="24"/>
              </w:rPr>
              <w:t>6</w:t>
            </w:r>
            <w:r w:rsidRPr="00EC20F8">
              <w:rPr>
                <w:rFonts w:ascii="Times New Roman" w:hAnsi="Times New Roman" w:cs="Times New Roman"/>
                <w:sz w:val="24"/>
                <w:szCs w:val="24"/>
              </w:rPr>
              <w:t>00 000,00</w:t>
            </w:r>
          </w:p>
        </w:tc>
      </w:tr>
      <w:tr w:rsidR="00FC1995" w:rsidRPr="00EC20F8" w:rsidTr="008D1046">
        <w:trPr>
          <w:trHeight w:val="317"/>
        </w:trPr>
        <w:tc>
          <w:tcPr>
            <w:tcW w:w="1668"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2015</w:t>
            </w:r>
          </w:p>
        </w:tc>
        <w:tc>
          <w:tcPr>
            <w:tcW w:w="4553"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100</w:t>
            </w:r>
          </w:p>
        </w:tc>
        <w:tc>
          <w:tcPr>
            <w:tcW w:w="3350"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 xml:space="preserve">6 000 000,00 </w:t>
            </w:r>
          </w:p>
        </w:tc>
      </w:tr>
      <w:tr w:rsidR="00FC1995" w:rsidRPr="00EC20F8" w:rsidTr="008D1046">
        <w:trPr>
          <w:trHeight w:val="317"/>
        </w:trPr>
        <w:tc>
          <w:tcPr>
            <w:tcW w:w="1668"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2016</w:t>
            </w:r>
          </w:p>
        </w:tc>
        <w:tc>
          <w:tcPr>
            <w:tcW w:w="4553"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300</w:t>
            </w:r>
          </w:p>
        </w:tc>
        <w:tc>
          <w:tcPr>
            <w:tcW w:w="3350"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18 000 000,00</w:t>
            </w:r>
          </w:p>
        </w:tc>
      </w:tr>
      <w:tr w:rsidR="00FC1995" w:rsidRPr="00EC20F8" w:rsidTr="008D1046">
        <w:trPr>
          <w:trHeight w:val="317"/>
        </w:trPr>
        <w:tc>
          <w:tcPr>
            <w:tcW w:w="1668"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2017</w:t>
            </w:r>
          </w:p>
        </w:tc>
        <w:tc>
          <w:tcPr>
            <w:tcW w:w="4553"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100</w:t>
            </w:r>
          </w:p>
        </w:tc>
        <w:tc>
          <w:tcPr>
            <w:tcW w:w="3350"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6 000 000,00</w:t>
            </w:r>
          </w:p>
        </w:tc>
      </w:tr>
    </w:tbl>
    <w:p w:rsidR="00FC1995" w:rsidRPr="00EC20F8" w:rsidRDefault="00FC1995" w:rsidP="00FC1995">
      <w:pPr>
        <w:ind w:firstLine="709"/>
        <w:jc w:val="both"/>
        <w:rPr>
          <w:rFonts w:ascii="Times New Roman" w:hAnsi="Times New Roman" w:cs="Times New Roman"/>
          <w:sz w:val="28"/>
          <w:szCs w:val="28"/>
        </w:rPr>
      </w:pPr>
    </w:p>
    <w:p w:rsidR="00FC1995" w:rsidRPr="00EC20F8" w:rsidRDefault="00FC1995" w:rsidP="00FC1995">
      <w:pPr>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меры муниципальной социальной поддержки в соответствии с Решением Городской Думы Петропавловск-Камчатского городского округа от 06.03.2013 № 36-нд «Об условиях и порядке предоставления бесплатной зубопротезной помощи (за исключением протезов из драгоценных металлов, металлокерамики и других дорогостоящих материалов и искусственных имплантатов) неработающим пенсионерам, проживающим на территории Петропавловск-Камчатского городского округа».</w:t>
      </w:r>
      <w:proofErr w:type="gramEnd"/>
      <w:r w:rsidRPr="00EC20F8">
        <w:rPr>
          <w:rFonts w:ascii="Times New Roman" w:hAnsi="Times New Roman" w:cs="Times New Roman"/>
          <w:sz w:val="28"/>
          <w:szCs w:val="28"/>
        </w:rPr>
        <w:t xml:space="preserve"> Объем предоставленных мер на бесплатное зубопротезирование в 2013 году составил 2 048,542 тыс. рублей, услуга была оказана 34 человекам, проживающим в городском округе. </w:t>
      </w:r>
    </w:p>
    <w:p w:rsidR="00FC1995" w:rsidRPr="00EC20F8" w:rsidRDefault="00FC1995" w:rsidP="00FC1995">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По оценке в 2014 году объем предоставленных мер составит </w:t>
      </w:r>
      <w:r w:rsidR="00AD14BF" w:rsidRPr="00EC20F8">
        <w:rPr>
          <w:rFonts w:ascii="Times New Roman" w:hAnsi="Times New Roman" w:cs="Times New Roman"/>
          <w:sz w:val="28"/>
          <w:szCs w:val="28"/>
        </w:rPr>
        <w:t>1 740,86</w:t>
      </w:r>
      <w:r w:rsidRPr="00EC20F8">
        <w:rPr>
          <w:rFonts w:ascii="Times New Roman" w:hAnsi="Times New Roman" w:cs="Times New Roman"/>
          <w:sz w:val="32"/>
          <w:szCs w:val="28"/>
        </w:rPr>
        <w:t xml:space="preserve"> </w:t>
      </w:r>
      <w:r w:rsidRPr="00EC20F8">
        <w:rPr>
          <w:rFonts w:ascii="Times New Roman" w:hAnsi="Times New Roman" w:cs="Times New Roman"/>
          <w:sz w:val="28"/>
          <w:szCs w:val="28"/>
        </w:rPr>
        <w:t xml:space="preserve">тыс. рублей. </w:t>
      </w:r>
    </w:p>
    <w:p w:rsidR="00FC1995" w:rsidRPr="00EC20F8" w:rsidRDefault="00FC1995" w:rsidP="00FC1995">
      <w:pPr>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По прогнозу на 2015-2017 годы планируется увеличение объема поддержки на бесплатное зубопротезирование в связи с ростом количества обратившихся граждан и увеличением стоимости услуг по зубопротезированию.</w:t>
      </w:r>
      <w:proofErr w:type="gramEnd"/>
    </w:p>
    <w:p w:rsidR="00FC1995" w:rsidRPr="00EC20F8" w:rsidRDefault="00FC1995" w:rsidP="00FC1995">
      <w:pPr>
        <w:jc w:val="both"/>
        <w:rPr>
          <w:rFonts w:ascii="Times New Roman" w:hAnsi="Times New Roman" w:cs="Times New Roman"/>
          <w:sz w:val="28"/>
          <w:szCs w:val="28"/>
        </w:rPr>
      </w:pPr>
    </w:p>
    <w:tbl>
      <w:tblPr>
        <w:tblW w:w="5000" w:type="pct"/>
        <w:tblLook w:val="0000"/>
      </w:tblPr>
      <w:tblGrid>
        <w:gridCol w:w="1694"/>
        <w:gridCol w:w="3275"/>
        <w:gridCol w:w="4602"/>
      </w:tblGrid>
      <w:tr w:rsidR="00FC1995" w:rsidRPr="00EC20F8" w:rsidTr="008D1046">
        <w:trPr>
          <w:trHeight w:val="620"/>
        </w:trPr>
        <w:tc>
          <w:tcPr>
            <w:tcW w:w="885"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Год</w:t>
            </w:r>
          </w:p>
        </w:tc>
        <w:tc>
          <w:tcPr>
            <w:tcW w:w="1711"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Количество получателей</w:t>
            </w:r>
          </w:p>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(чел.)</w:t>
            </w:r>
          </w:p>
        </w:tc>
        <w:tc>
          <w:tcPr>
            <w:tcW w:w="2404"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Меры социальной поддержки (руб.)</w:t>
            </w:r>
          </w:p>
        </w:tc>
      </w:tr>
      <w:tr w:rsidR="00FC1995" w:rsidRPr="00EC20F8" w:rsidTr="008D1046">
        <w:trPr>
          <w:trHeight w:val="317"/>
        </w:trPr>
        <w:tc>
          <w:tcPr>
            <w:tcW w:w="885"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6 мес. 2014</w:t>
            </w:r>
          </w:p>
        </w:tc>
        <w:tc>
          <w:tcPr>
            <w:tcW w:w="1711"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44</w:t>
            </w:r>
          </w:p>
        </w:tc>
        <w:tc>
          <w:tcPr>
            <w:tcW w:w="2404"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jc w:val="center"/>
              <w:rPr>
                <w:rFonts w:ascii="Times New Roman" w:hAnsi="Times New Roman" w:cs="Times New Roman"/>
                <w:sz w:val="24"/>
                <w:szCs w:val="24"/>
              </w:rPr>
            </w:pPr>
            <w:r w:rsidRPr="00EC20F8">
              <w:rPr>
                <w:rFonts w:ascii="Times New Roman" w:hAnsi="Times New Roman" w:cs="Times New Roman"/>
                <w:sz w:val="24"/>
                <w:szCs w:val="24"/>
              </w:rPr>
              <w:t>1 463 500,00</w:t>
            </w:r>
          </w:p>
        </w:tc>
      </w:tr>
      <w:tr w:rsidR="00FC1995" w:rsidRPr="00EC20F8" w:rsidTr="008D1046">
        <w:trPr>
          <w:trHeight w:val="317"/>
        </w:trPr>
        <w:tc>
          <w:tcPr>
            <w:tcW w:w="885"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Оценка 2014</w:t>
            </w:r>
          </w:p>
        </w:tc>
        <w:tc>
          <w:tcPr>
            <w:tcW w:w="1711"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67</w:t>
            </w:r>
          </w:p>
        </w:tc>
        <w:tc>
          <w:tcPr>
            <w:tcW w:w="2404" w:type="pct"/>
            <w:tcBorders>
              <w:top w:val="single" w:sz="4" w:space="0" w:color="auto"/>
              <w:left w:val="single" w:sz="4" w:space="0" w:color="auto"/>
              <w:bottom w:val="single" w:sz="4" w:space="0" w:color="auto"/>
              <w:right w:val="single" w:sz="4" w:space="0" w:color="auto"/>
            </w:tcBorders>
          </w:tcPr>
          <w:p w:rsidR="00FC1995" w:rsidRPr="00EC20F8" w:rsidRDefault="00AD14BF"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1 740 860</w:t>
            </w:r>
            <w:r w:rsidR="00FC1995" w:rsidRPr="00EC20F8">
              <w:rPr>
                <w:rFonts w:ascii="Times New Roman" w:hAnsi="Times New Roman" w:cs="Times New Roman"/>
                <w:sz w:val="24"/>
                <w:szCs w:val="24"/>
              </w:rPr>
              <w:t>,00</w:t>
            </w:r>
          </w:p>
        </w:tc>
      </w:tr>
      <w:tr w:rsidR="00FC1995" w:rsidRPr="00EC20F8" w:rsidTr="008D1046">
        <w:trPr>
          <w:trHeight w:val="317"/>
        </w:trPr>
        <w:tc>
          <w:tcPr>
            <w:tcW w:w="885"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2015</w:t>
            </w:r>
          </w:p>
        </w:tc>
        <w:tc>
          <w:tcPr>
            <w:tcW w:w="1711"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70</w:t>
            </w:r>
          </w:p>
        </w:tc>
        <w:tc>
          <w:tcPr>
            <w:tcW w:w="2404"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 xml:space="preserve">2 769 550,00 </w:t>
            </w:r>
          </w:p>
        </w:tc>
      </w:tr>
      <w:tr w:rsidR="00FC1995" w:rsidRPr="00EC20F8" w:rsidTr="008D1046">
        <w:trPr>
          <w:trHeight w:val="317"/>
        </w:trPr>
        <w:tc>
          <w:tcPr>
            <w:tcW w:w="885"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2016</w:t>
            </w:r>
          </w:p>
        </w:tc>
        <w:tc>
          <w:tcPr>
            <w:tcW w:w="1711"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70</w:t>
            </w:r>
          </w:p>
        </w:tc>
        <w:tc>
          <w:tcPr>
            <w:tcW w:w="2404"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2 769 550,00</w:t>
            </w:r>
          </w:p>
        </w:tc>
      </w:tr>
      <w:tr w:rsidR="00FC1995" w:rsidRPr="00EC20F8" w:rsidTr="008D1046">
        <w:trPr>
          <w:trHeight w:val="317"/>
        </w:trPr>
        <w:tc>
          <w:tcPr>
            <w:tcW w:w="885"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2017</w:t>
            </w:r>
          </w:p>
        </w:tc>
        <w:tc>
          <w:tcPr>
            <w:tcW w:w="1711"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70</w:t>
            </w:r>
          </w:p>
        </w:tc>
        <w:tc>
          <w:tcPr>
            <w:tcW w:w="2404" w:type="pct"/>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2 769 550,00</w:t>
            </w:r>
          </w:p>
        </w:tc>
      </w:tr>
    </w:tbl>
    <w:p w:rsidR="00FC1995" w:rsidRPr="00EC20F8" w:rsidRDefault="00FC1995" w:rsidP="00FC1995">
      <w:pPr>
        <w:autoSpaceDE w:val="0"/>
        <w:autoSpaceDN w:val="0"/>
        <w:adjustRightInd w:val="0"/>
        <w:spacing w:line="240" w:lineRule="auto"/>
        <w:ind w:firstLine="709"/>
        <w:jc w:val="both"/>
        <w:rPr>
          <w:rFonts w:ascii="Times New Roman" w:hAnsi="Times New Roman" w:cs="Times New Roman"/>
          <w:sz w:val="28"/>
          <w:szCs w:val="28"/>
        </w:rPr>
      </w:pPr>
    </w:p>
    <w:p w:rsidR="00FC1995" w:rsidRPr="00EC20F8" w:rsidRDefault="00FC1995" w:rsidP="00FC1995">
      <w:pPr>
        <w:autoSpaceDE w:val="0"/>
        <w:autoSpaceDN w:val="0"/>
        <w:adjustRightInd w:val="0"/>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меры муниципальной социальной поддержки Почётным гражданам города Петропавловска-Камчатского в соответствии с Решением Городской Думы Петропавловск-Камчатского городского округа от 31.10.2013 № 144-нд «О порядке и условиях присвоения звания «Почетный гражданин города Петропавловска-Камчатского».</w:t>
      </w:r>
      <w:proofErr w:type="gramEnd"/>
      <w:r w:rsidRPr="00EC20F8">
        <w:rPr>
          <w:rFonts w:ascii="Times New Roman" w:hAnsi="Times New Roman" w:cs="Times New Roman"/>
          <w:sz w:val="28"/>
          <w:szCs w:val="28"/>
        </w:rPr>
        <w:t xml:space="preserve"> Объем предоставленных мер социальной поддержки в 2013 году составил 1 520,90 тыс. рублей. </w:t>
      </w:r>
    </w:p>
    <w:p w:rsidR="00FC1995" w:rsidRPr="00EC20F8" w:rsidRDefault="00FC1995" w:rsidP="00FC1995">
      <w:pPr>
        <w:autoSpaceDE w:val="0"/>
        <w:autoSpaceDN w:val="0"/>
        <w:adjustRightInd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По оценке в 2014 году общий объем предоставленных мер составит      1 983,13 тыс. рублей. </w:t>
      </w:r>
      <w:proofErr w:type="gramStart"/>
      <w:r w:rsidRPr="00EC20F8">
        <w:rPr>
          <w:rFonts w:ascii="Times New Roman" w:hAnsi="Times New Roman" w:cs="Times New Roman"/>
          <w:sz w:val="28"/>
          <w:szCs w:val="28"/>
        </w:rPr>
        <w:t>По прогнозу ожидается увеличение расходов городского округа на их предоставление в связи с ежегодной индексацией ежемесячной денежной компенсации и увеличением на 1 человека количества граждан, удостоенных звания «Почётный гражданин города Петропавловска-Камчатского» в среднесрочном периоде.</w:t>
      </w:r>
      <w:proofErr w:type="gramEnd"/>
    </w:p>
    <w:p w:rsidR="00FC1995" w:rsidRPr="00EC20F8" w:rsidRDefault="00FC1995" w:rsidP="00FC1995">
      <w:pPr>
        <w:autoSpaceDE w:val="0"/>
        <w:autoSpaceDN w:val="0"/>
        <w:adjustRightInd w:val="0"/>
        <w:spacing w:line="240" w:lineRule="auto"/>
        <w:ind w:firstLine="709"/>
        <w:jc w:val="both"/>
        <w:rPr>
          <w:rFonts w:ascii="Times New Roman" w:hAnsi="Times New Roman" w:cs="Times New Roman"/>
          <w:sz w:val="12"/>
          <w:szCs w:val="12"/>
        </w:rPr>
      </w:pPr>
    </w:p>
    <w:tbl>
      <w:tblPr>
        <w:tblW w:w="5000" w:type="pct"/>
        <w:tblLayout w:type="fixed"/>
        <w:tblLook w:val="0000"/>
      </w:tblPr>
      <w:tblGrid>
        <w:gridCol w:w="1668"/>
        <w:gridCol w:w="4553"/>
        <w:gridCol w:w="3350"/>
      </w:tblGrid>
      <w:tr w:rsidR="00FC1995" w:rsidRPr="00EC20F8" w:rsidTr="008D1046">
        <w:trPr>
          <w:trHeight w:val="620"/>
        </w:trPr>
        <w:tc>
          <w:tcPr>
            <w:tcW w:w="1668"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Год</w:t>
            </w:r>
          </w:p>
        </w:tc>
        <w:tc>
          <w:tcPr>
            <w:tcW w:w="4553"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Количество получателей</w:t>
            </w:r>
          </w:p>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(чел.)</w:t>
            </w:r>
          </w:p>
        </w:tc>
        <w:tc>
          <w:tcPr>
            <w:tcW w:w="3350"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Меры социальной поддержки (руб.)</w:t>
            </w:r>
          </w:p>
        </w:tc>
      </w:tr>
      <w:tr w:rsidR="00FC1995" w:rsidRPr="00EC20F8" w:rsidTr="008D1046">
        <w:trPr>
          <w:trHeight w:val="317"/>
        </w:trPr>
        <w:tc>
          <w:tcPr>
            <w:tcW w:w="1668"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6 мес. 2014</w:t>
            </w:r>
          </w:p>
        </w:tc>
        <w:tc>
          <w:tcPr>
            <w:tcW w:w="4553"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17</w:t>
            </w:r>
          </w:p>
        </w:tc>
        <w:tc>
          <w:tcPr>
            <w:tcW w:w="3350"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jc w:val="center"/>
              <w:rPr>
                <w:rFonts w:ascii="Times New Roman" w:hAnsi="Times New Roman" w:cs="Times New Roman"/>
                <w:bCs/>
                <w:sz w:val="24"/>
                <w:szCs w:val="20"/>
              </w:rPr>
            </w:pPr>
            <w:r w:rsidRPr="00EC20F8">
              <w:rPr>
                <w:rFonts w:ascii="Times New Roman" w:hAnsi="Times New Roman" w:cs="Times New Roman"/>
                <w:bCs/>
                <w:sz w:val="24"/>
                <w:szCs w:val="20"/>
              </w:rPr>
              <w:t>720 300,00</w:t>
            </w:r>
          </w:p>
        </w:tc>
      </w:tr>
      <w:tr w:rsidR="00FC1995" w:rsidRPr="00EC20F8" w:rsidTr="008D1046">
        <w:trPr>
          <w:trHeight w:val="317"/>
        </w:trPr>
        <w:tc>
          <w:tcPr>
            <w:tcW w:w="1668"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Оценка 2014</w:t>
            </w:r>
          </w:p>
        </w:tc>
        <w:tc>
          <w:tcPr>
            <w:tcW w:w="4553"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18</w:t>
            </w:r>
          </w:p>
        </w:tc>
        <w:tc>
          <w:tcPr>
            <w:tcW w:w="3350"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1 983 128,00</w:t>
            </w:r>
          </w:p>
        </w:tc>
      </w:tr>
      <w:tr w:rsidR="00FC1995" w:rsidRPr="00EC20F8" w:rsidTr="008D1046">
        <w:trPr>
          <w:trHeight w:val="317"/>
        </w:trPr>
        <w:tc>
          <w:tcPr>
            <w:tcW w:w="1668"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2015</w:t>
            </w:r>
          </w:p>
        </w:tc>
        <w:tc>
          <w:tcPr>
            <w:tcW w:w="4553"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18</w:t>
            </w:r>
          </w:p>
        </w:tc>
        <w:tc>
          <w:tcPr>
            <w:tcW w:w="3350"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 xml:space="preserve">2 167 600,00 </w:t>
            </w:r>
          </w:p>
        </w:tc>
      </w:tr>
      <w:tr w:rsidR="00FC1995" w:rsidRPr="00EC20F8" w:rsidTr="008D1046">
        <w:trPr>
          <w:trHeight w:val="317"/>
        </w:trPr>
        <w:tc>
          <w:tcPr>
            <w:tcW w:w="1668"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2016</w:t>
            </w:r>
          </w:p>
        </w:tc>
        <w:tc>
          <w:tcPr>
            <w:tcW w:w="4553"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19</w:t>
            </w:r>
          </w:p>
        </w:tc>
        <w:tc>
          <w:tcPr>
            <w:tcW w:w="3350"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2 167 600,00</w:t>
            </w:r>
          </w:p>
        </w:tc>
      </w:tr>
      <w:tr w:rsidR="00FC1995" w:rsidRPr="00EC20F8" w:rsidTr="008D1046">
        <w:trPr>
          <w:trHeight w:val="317"/>
        </w:trPr>
        <w:tc>
          <w:tcPr>
            <w:tcW w:w="1668"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2017</w:t>
            </w:r>
          </w:p>
        </w:tc>
        <w:tc>
          <w:tcPr>
            <w:tcW w:w="4553"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20</w:t>
            </w:r>
          </w:p>
        </w:tc>
        <w:tc>
          <w:tcPr>
            <w:tcW w:w="3350"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2 167 600,00</w:t>
            </w:r>
          </w:p>
        </w:tc>
      </w:tr>
    </w:tbl>
    <w:p w:rsidR="00FC1995" w:rsidRPr="00EC20F8" w:rsidRDefault="00FC1995" w:rsidP="00FC1995">
      <w:pPr>
        <w:autoSpaceDE w:val="0"/>
        <w:autoSpaceDN w:val="0"/>
        <w:adjustRightInd w:val="0"/>
        <w:spacing w:line="240" w:lineRule="auto"/>
        <w:ind w:firstLine="709"/>
        <w:jc w:val="both"/>
        <w:rPr>
          <w:rFonts w:ascii="Times New Roman" w:hAnsi="Times New Roman" w:cs="Times New Roman"/>
          <w:sz w:val="12"/>
          <w:szCs w:val="12"/>
        </w:rPr>
      </w:pPr>
    </w:p>
    <w:p w:rsidR="00FC1995" w:rsidRPr="00EC20F8" w:rsidRDefault="00FC1995" w:rsidP="00FC1995">
      <w:pPr>
        <w:autoSpaceDE w:val="0"/>
        <w:autoSpaceDN w:val="0"/>
        <w:adjustRightInd w:val="0"/>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Планируется продолжение работы по назначению и выплате ежемесячных доплат к пенсии лицам, замещавшим муниципальные должности в Петропавловск-Камчатском городском округе, и пенсии за выслугу лет лицам, замещавшим должности муниципальной службы в Петропавловск-Камчатском городском округе в соответствии с Решениями Городской Думы Петропавловска-Камчатского городского округа                 от 06.05.2013 № 57-нд «О назначении и выплате пенсии за выслугу лет лицам, замещавшим должности муниципальной службы в Петропавловск-Камчатском</w:t>
      </w:r>
      <w:proofErr w:type="gramEnd"/>
      <w:r w:rsidRPr="00EC20F8">
        <w:rPr>
          <w:rFonts w:ascii="Times New Roman" w:hAnsi="Times New Roman" w:cs="Times New Roman"/>
          <w:sz w:val="28"/>
          <w:szCs w:val="28"/>
        </w:rPr>
        <w:t xml:space="preserve"> городском округе» и от 27.12.2013 № 161-нд «О порядке назначения и выплаты ежемесячной доплаты к пенсии лицам, замещавшим муниципальные должности в </w:t>
      </w:r>
      <w:proofErr w:type="gramStart"/>
      <w:r w:rsidRPr="00EC20F8">
        <w:rPr>
          <w:rFonts w:ascii="Times New Roman" w:hAnsi="Times New Roman" w:cs="Times New Roman"/>
          <w:sz w:val="28"/>
          <w:szCs w:val="28"/>
        </w:rPr>
        <w:t>Петропавловск-Камчатском</w:t>
      </w:r>
      <w:proofErr w:type="gramEnd"/>
      <w:r w:rsidRPr="00EC20F8">
        <w:rPr>
          <w:rFonts w:ascii="Times New Roman" w:hAnsi="Times New Roman" w:cs="Times New Roman"/>
          <w:sz w:val="28"/>
          <w:szCs w:val="28"/>
        </w:rPr>
        <w:t xml:space="preserve"> городском округе».</w:t>
      </w:r>
    </w:p>
    <w:p w:rsidR="00FC1995" w:rsidRPr="00EC20F8" w:rsidRDefault="00FC1995" w:rsidP="00FC1995">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Объем средств бюджета на выплату доплат и пенсий за выслугу лет в 2013 году составил 11 389,35 тыс. рублей. </w:t>
      </w:r>
    </w:p>
    <w:p w:rsidR="00FC1995" w:rsidRPr="00EC20F8" w:rsidRDefault="00FC1995" w:rsidP="00FC1995">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По оценке в 2014 году объем выплат составит </w:t>
      </w:r>
      <w:r w:rsidR="00AD14BF" w:rsidRPr="00EC20F8">
        <w:rPr>
          <w:rFonts w:ascii="Times New Roman" w:hAnsi="Times New Roman" w:cs="Times New Roman"/>
          <w:sz w:val="28"/>
          <w:szCs w:val="24"/>
        </w:rPr>
        <w:t>13 312,0</w:t>
      </w:r>
      <w:r w:rsidRPr="00EC20F8">
        <w:rPr>
          <w:rFonts w:ascii="Times New Roman" w:hAnsi="Times New Roman" w:cs="Times New Roman"/>
          <w:sz w:val="28"/>
          <w:szCs w:val="24"/>
        </w:rPr>
        <w:t xml:space="preserve"> </w:t>
      </w:r>
      <w:r w:rsidRPr="00EC20F8">
        <w:rPr>
          <w:rFonts w:ascii="Times New Roman" w:hAnsi="Times New Roman" w:cs="Times New Roman"/>
          <w:sz w:val="28"/>
          <w:szCs w:val="28"/>
        </w:rPr>
        <w:t xml:space="preserve">тыс. рублей. </w:t>
      </w:r>
      <w:proofErr w:type="gramStart"/>
      <w:r w:rsidRPr="00EC20F8">
        <w:rPr>
          <w:rFonts w:ascii="Times New Roman" w:hAnsi="Times New Roman" w:cs="Times New Roman"/>
          <w:sz w:val="28"/>
          <w:szCs w:val="28"/>
        </w:rPr>
        <w:t>На период 2015-2017 годов планируется уменьшение ассигнований в связи с изменением законодательства и прекращением выплат для получателей пенсий и доплат, работающих в организациях, финансируемых из бюджетов.</w:t>
      </w:r>
      <w:proofErr w:type="gramEnd"/>
    </w:p>
    <w:p w:rsidR="000D1024" w:rsidRPr="00EC20F8" w:rsidRDefault="000D1024" w:rsidP="00FC1995">
      <w:pPr>
        <w:ind w:firstLine="709"/>
        <w:jc w:val="both"/>
        <w:rPr>
          <w:rFonts w:ascii="Times New Roman" w:hAnsi="Times New Roman" w:cs="Times New Roman"/>
          <w:sz w:val="12"/>
          <w:szCs w:val="12"/>
        </w:rPr>
      </w:pPr>
    </w:p>
    <w:tbl>
      <w:tblPr>
        <w:tblW w:w="5000" w:type="pct"/>
        <w:tblLayout w:type="fixed"/>
        <w:tblLook w:val="0000"/>
      </w:tblPr>
      <w:tblGrid>
        <w:gridCol w:w="1668"/>
        <w:gridCol w:w="4553"/>
        <w:gridCol w:w="3350"/>
      </w:tblGrid>
      <w:tr w:rsidR="00FC1995" w:rsidRPr="00EC20F8" w:rsidTr="008D1046">
        <w:trPr>
          <w:trHeight w:val="274"/>
        </w:trPr>
        <w:tc>
          <w:tcPr>
            <w:tcW w:w="1668"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Год</w:t>
            </w:r>
          </w:p>
        </w:tc>
        <w:tc>
          <w:tcPr>
            <w:tcW w:w="4553"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Количество получателей (чел.)</w:t>
            </w:r>
          </w:p>
        </w:tc>
        <w:tc>
          <w:tcPr>
            <w:tcW w:w="3350"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Сумма выплаты (руб.)</w:t>
            </w:r>
          </w:p>
        </w:tc>
      </w:tr>
      <w:tr w:rsidR="00FC1995" w:rsidRPr="00EC20F8" w:rsidTr="008D1046">
        <w:trPr>
          <w:trHeight w:val="317"/>
        </w:trPr>
        <w:tc>
          <w:tcPr>
            <w:tcW w:w="1668"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6 мес. 2014</w:t>
            </w:r>
          </w:p>
        </w:tc>
        <w:tc>
          <w:tcPr>
            <w:tcW w:w="4553"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99</w:t>
            </w:r>
          </w:p>
        </w:tc>
        <w:tc>
          <w:tcPr>
            <w:tcW w:w="3350"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jc w:val="center"/>
              <w:rPr>
                <w:rFonts w:ascii="Times New Roman" w:hAnsi="Times New Roman" w:cs="Times New Roman"/>
                <w:sz w:val="24"/>
                <w:szCs w:val="24"/>
              </w:rPr>
            </w:pPr>
            <w:r w:rsidRPr="00EC20F8">
              <w:rPr>
                <w:rFonts w:ascii="Times New Roman" w:hAnsi="Times New Roman" w:cs="Times New Roman"/>
                <w:sz w:val="24"/>
                <w:szCs w:val="24"/>
              </w:rPr>
              <w:t>6 490 400,00</w:t>
            </w:r>
          </w:p>
        </w:tc>
      </w:tr>
      <w:tr w:rsidR="00FC1995" w:rsidRPr="00EC20F8" w:rsidTr="008D1046">
        <w:trPr>
          <w:trHeight w:val="317"/>
        </w:trPr>
        <w:tc>
          <w:tcPr>
            <w:tcW w:w="1668"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Оценка 2014</w:t>
            </w:r>
          </w:p>
        </w:tc>
        <w:tc>
          <w:tcPr>
            <w:tcW w:w="4553"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112</w:t>
            </w:r>
          </w:p>
        </w:tc>
        <w:tc>
          <w:tcPr>
            <w:tcW w:w="3350" w:type="dxa"/>
            <w:tcBorders>
              <w:top w:val="single" w:sz="4" w:space="0" w:color="auto"/>
              <w:left w:val="single" w:sz="4" w:space="0" w:color="auto"/>
              <w:bottom w:val="single" w:sz="4" w:space="0" w:color="auto"/>
              <w:right w:val="single" w:sz="4" w:space="0" w:color="auto"/>
            </w:tcBorders>
          </w:tcPr>
          <w:p w:rsidR="00FC1995" w:rsidRPr="00EC20F8" w:rsidRDefault="00AD14BF"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13 312 000,00</w:t>
            </w:r>
          </w:p>
        </w:tc>
      </w:tr>
      <w:tr w:rsidR="00FC1995" w:rsidRPr="00EC20F8" w:rsidTr="008D1046">
        <w:trPr>
          <w:trHeight w:val="317"/>
        </w:trPr>
        <w:tc>
          <w:tcPr>
            <w:tcW w:w="1668"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2015</w:t>
            </w:r>
          </w:p>
        </w:tc>
        <w:tc>
          <w:tcPr>
            <w:tcW w:w="4553"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114</w:t>
            </w:r>
          </w:p>
        </w:tc>
        <w:tc>
          <w:tcPr>
            <w:tcW w:w="3350"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13 214 080,00</w:t>
            </w:r>
          </w:p>
        </w:tc>
      </w:tr>
      <w:tr w:rsidR="00FC1995" w:rsidRPr="00EC20F8" w:rsidTr="008D1046">
        <w:trPr>
          <w:trHeight w:val="317"/>
        </w:trPr>
        <w:tc>
          <w:tcPr>
            <w:tcW w:w="1668"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2016</w:t>
            </w:r>
          </w:p>
        </w:tc>
        <w:tc>
          <w:tcPr>
            <w:tcW w:w="4553"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116</w:t>
            </w:r>
          </w:p>
        </w:tc>
        <w:tc>
          <w:tcPr>
            <w:tcW w:w="3350"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13 214 080,00</w:t>
            </w:r>
          </w:p>
        </w:tc>
      </w:tr>
      <w:tr w:rsidR="00FC1995" w:rsidRPr="00EC20F8" w:rsidTr="008D1046">
        <w:trPr>
          <w:trHeight w:val="317"/>
        </w:trPr>
        <w:tc>
          <w:tcPr>
            <w:tcW w:w="1668"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tabs>
                <w:tab w:val="center" w:pos="1080"/>
              </w:tabs>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2017</w:t>
            </w:r>
          </w:p>
        </w:tc>
        <w:tc>
          <w:tcPr>
            <w:tcW w:w="4553"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118</w:t>
            </w:r>
          </w:p>
        </w:tc>
        <w:tc>
          <w:tcPr>
            <w:tcW w:w="3350"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13 214 080,00</w:t>
            </w:r>
          </w:p>
        </w:tc>
      </w:tr>
    </w:tbl>
    <w:p w:rsidR="00FC1995" w:rsidRPr="00EC20F8" w:rsidRDefault="00FC1995" w:rsidP="00FC1995">
      <w:pPr>
        <w:ind w:firstLine="709"/>
        <w:jc w:val="both"/>
        <w:rPr>
          <w:rFonts w:ascii="Times New Roman" w:hAnsi="Times New Roman" w:cs="Times New Roman"/>
          <w:sz w:val="28"/>
          <w:szCs w:val="28"/>
        </w:rPr>
      </w:pPr>
    </w:p>
    <w:p w:rsidR="00FC1995" w:rsidRPr="00EC20F8" w:rsidRDefault="00FC1995" w:rsidP="00FC1995">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Планируется продолжение работы по возмещению расходов, связанных с погребением, специализированным службам по вопросам похоронного дела. Объем возмещенных расходов, связанных с погребением, в 2013 году составил 6 903,50 тыс. рублей. </w:t>
      </w:r>
    </w:p>
    <w:p w:rsidR="00FC1995" w:rsidRPr="00EC20F8" w:rsidRDefault="00FC1995" w:rsidP="00FC1995">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По оценке в 2014 году объем возмещения составит </w:t>
      </w:r>
      <w:r w:rsidR="00AD14BF" w:rsidRPr="00EC20F8">
        <w:rPr>
          <w:rFonts w:ascii="Times New Roman" w:hAnsi="Times New Roman" w:cs="Times New Roman"/>
          <w:sz w:val="28"/>
          <w:szCs w:val="28"/>
        </w:rPr>
        <w:t>12 410,47</w:t>
      </w:r>
      <w:r w:rsidRPr="00EC20F8">
        <w:rPr>
          <w:rFonts w:ascii="Times New Roman" w:hAnsi="Times New Roman" w:cs="Times New Roman"/>
          <w:sz w:val="28"/>
          <w:szCs w:val="28"/>
        </w:rPr>
        <w:t xml:space="preserve"> тыс. рублей. В среднесрочном периоде планируется увеличение затрат на погребение.</w:t>
      </w:r>
      <w:r w:rsidRPr="00EC20F8">
        <w:t xml:space="preserve"> </w:t>
      </w:r>
      <w:r w:rsidRPr="00EC20F8">
        <w:rPr>
          <w:rFonts w:ascii="Times New Roman" w:hAnsi="Times New Roman" w:cs="Times New Roman"/>
          <w:sz w:val="28"/>
          <w:szCs w:val="28"/>
        </w:rPr>
        <w:t>Увеличение расходов связано с увеличением тарифов МУП «Лотос-М».</w:t>
      </w:r>
    </w:p>
    <w:p w:rsidR="00FC1995" w:rsidRPr="00EC20F8" w:rsidRDefault="00FC1995" w:rsidP="00FC1995">
      <w:pPr>
        <w:jc w:val="both"/>
        <w:rPr>
          <w:rFonts w:ascii="Times New Roman" w:hAnsi="Times New Roman" w:cs="Times New Roman"/>
          <w:sz w:val="28"/>
          <w:szCs w:val="28"/>
        </w:rPr>
      </w:pPr>
    </w:p>
    <w:tbl>
      <w:tblPr>
        <w:tblW w:w="5000" w:type="pct"/>
        <w:tblLayout w:type="fixed"/>
        <w:tblLook w:val="0000"/>
      </w:tblPr>
      <w:tblGrid>
        <w:gridCol w:w="1668"/>
        <w:gridCol w:w="7903"/>
      </w:tblGrid>
      <w:tr w:rsidR="00FC1995" w:rsidRPr="00EC20F8" w:rsidTr="008D1046">
        <w:trPr>
          <w:trHeight w:val="416"/>
        </w:trPr>
        <w:tc>
          <w:tcPr>
            <w:tcW w:w="1668"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Год</w:t>
            </w:r>
          </w:p>
        </w:tc>
        <w:tc>
          <w:tcPr>
            <w:tcW w:w="7903"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Сумма возмещения (руб.)</w:t>
            </w:r>
          </w:p>
        </w:tc>
      </w:tr>
      <w:tr w:rsidR="00FC1995" w:rsidRPr="00EC20F8" w:rsidTr="008D1046">
        <w:trPr>
          <w:trHeight w:val="317"/>
        </w:trPr>
        <w:tc>
          <w:tcPr>
            <w:tcW w:w="1668"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6 мес. 2014</w:t>
            </w:r>
          </w:p>
        </w:tc>
        <w:tc>
          <w:tcPr>
            <w:tcW w:w="7903"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jc w:val="center"/>
              <w:rPr>
                <w:rFonts w:ascii="Times New Roman" w:hAnsi="Times New Roman" w:cs="Times New Roman"/>
                <w:sz w:val="24"/>
                <w:szCs w:val="24"/>
              </w:rPr>
            </w:pPr>
            <w:r w:rsidRPr="00EC20F8">
              <w:rPr>
                <w:rFonts w:ascii="Times New Roman" w:hAnsi="Times New Roman" w:cs="Times New Roman"/>
                <w:sz w:val="24"/>
                <w:szCs w:val="24"/>
              </w:rPr>
              <w:t>4 766 400,00</w:t>
            </w:r>
          </w:p>
        </w:tc>
      </w:tr>
      <w:tr w:rsidR="00FC1995" w:rsidRPr="00EC20F8" w:rsidTr="008D1046">
        <w:trPr>
          <w:trHeight w:val="317"/>
        </w:trPr>
        <w:tc>
          <w:tcPr>
            <w:tcW w:w="1668"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Оценка 2014</w:t>
            </w:r>
          </w:p>
        </w:tc>
        <w:tc>
          <w:tcPr>
            <w:tcW w:w="7903" w:type="dxa"/>
            <w:tcBorders>
              <w:top w:val="single" w:sz="4" w:space="0" w:color="auto"/>
              <w:left w:val="single" w:sz="4" w:space="0" w:color="auto"/>
              <w:bottom w:val="single" w:sz="4" w:space="0" w:color="auto"/>
              <w:right w:val="single" w:sz="4" w:space="0" w:color="auto"/>
            </w:tcBorders>
          </w:tcPr>
          <w:p w:rsidR="00FC1995" w:rsidRPr="00EC20F8" w:rsidRDefault="00AD14BF"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12 410 467,00</w:t>
            </w:r>
          </w:p>
        </w:tc>
      </w:tr>
      <w:tr w:rsidR="00FC1995" w:rsidRPr="00EC20F8" w:rsidTr="008D1046">
        <w:trPr>
          <w:trHeight w:val="317"/>
        </w:trPr>
        <w:tc>
          <w:tcPr>
            <w:tcW w:w="1668"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2015</w:t>
            </w:r>
          </w:p>
        </w:tc>
        <w:tc>
          <w:tcPr>
            <w:tcW w:w="7903"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 xml:space="preserve">13 313 740,00 </w:t>
            </w:r>
          </w:p>
        </w:tc>
      </w:tr>
      <w:tr w:rsidR="00FC1995" w:rsidRPr="00EC20F8" w:rsidTr="008D1046">
        <w:trPr>
          <w:trHeight w:val="317"/>
        </w:trPr>
        <w:tc>
          <w:tcPr>
            <w:tcW w:w="1668"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2016</w:t>
            </w:r>
          </w:p>
        </w:tc>
        <w:tc>
          <w:tcPr>
            <w:tcW w:w="7903"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13 313 740,00</w:t>
            </w:r>
          </w:p>
        </w:tc>
      </w:tr>
      <w:tr w:rsidR="00FC1995" w:rsidRPr="00EC20F8" w:rsidTr="008D1046">
        <w:trPr>
          <w:trHeight w:val="317"/>
        </w:trPr>
        <w:tc>
          <w:tcPr>
            <w:tcW w:w="1668"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2017</w:t>
            </w:r>
          </w:p>
        </w:tc>
        <w:tc>
          <w:tcPr>
            <w:tcW w:w="7903"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13 313 740,00</w:t>
            </w:r>
          </w:p>
        </w:tc>
      </w:tr>
    </w:tbl>
    <w:p w:rsidR="00FC1995" w:rsidRPr="00EC20F8" w:rsidRDefault="00FC1995" w:rsidP="00FC1995">
      <w:pPr>
        <w:spacing w:line="240" w:lineRule="auto"/>
        <w:ind w:firstLine="709"/>
        <w:jc w:val="both"/>
        <w:rPr>
          <w:rFonts w:ascii="Times New Roman" w:hAnsi="Times New Roman" w:cs="Times New Roman"/>
          <w:sz w:val="28"/>
          <w:szCs w:val="28"/>
        </w:rPr>
      </w:pPr>
    </w:p>
    <w:p w:rsidR="00FC1995" w:rsidRPr="00EC20F8" w:rsidRDefault="00FC1995" w:rsidP="00FC1995">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В 2014 году продолжилось осуществление п</w:t>
      </w:r>
      <w:r w:rsidR="004B77B9" w:rsidRPr="00EC20F8">
        <w:rPr>
          <w:rFonts w:ascii="Times New Roman" w:hAnsi="Times New Roman" w:cs="Times New Roman"/>
          <w:sz w:val="28"/>
          <w:szCs w:val="28"/>
        </w:rPr>
        <w:t>е</w:t>
      </w:r>
      <w:r w:rsidRPr="00EC20F8">
        <w:rPr>
          <w:rFonts w:ascii="Times New Roman" w:hAnsi="Times New Roman" w:cs="Times New Roman"/>
          <w:sz w:val="28"/>
          <w:szCs w:val="28"/>
        </w:rPr>
        <w:t xml:space="preserve">реданных государственных полномочий Камчатского края по социальному обслуживанию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w:t>
      </w:r>
    </w:p>
    <w:p w:rsidR="00FC1995" w:rsidRPr="00EC20F8" w:rsidRDefault="00FC1995" w:rsidP="00FC1995">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В 2013 году количество обслуженных граждан составило 26 084 человек, что на 2 882 человек, или 11,05 % меньше по сравнению с 2012 годом и на 2 916 человек, или 11,18 %, меньше запланированного количества в 2013 году. </w:t>
      </w:r>
    </w:p>
    <w:p w:rsidR="00FC1995" w:rsidRPr="00EC20F8" w:rsidRDefault="00FC1995" w:rsidP="00FC1995">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Было предоставлено 380 233 социальные услуги, что на 6 421 услугу, или 1,72 % больше по сравнению с 2012 годом.</w:t>
      </w:r>
    </w:p>
    <w:p w:rsidR="00FC1995" w:rsidRPr="00EC20F8" w:rsidRDefault="00FC1995" w:rsidP="00FC1995">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Объём субвенции на выполнение государственных полномочий в 2014 году запланирован в сумме 105 163,98 тыс. рублей, что на 17 882,38 тыс. рублей, или 20,5 % больше запланированных расходов в 2013 году. Фактическое выполнение за 1 полугодие составило 39 698,59 тыс. рублей, что на 4 977,244 тыс. рублей, или 14,33 % больше, чем в первом полугодии 2013 года.</w:t>
      </w:r>
    </w:p>
    <w:p w:rsidR="000D1024" w:rsidRPr="00EC20F8" w:rsidRDefault="00FC1995" w:rsidP="00FC1995">
      <w:pPr>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В связи с изменениями в федеральном законодательстве с 01.01.2015 отдел не будет реализовывать государственные полномочия Камчатского края по социальному обслуживанию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w:t>
      </w:r>
      <w:proofErr w:type="gramEnd"/>
    </w:p>
    <w:p w:rsidR="00FC1995" w:rsidRPr="00EC20F8" w:rsidRDefault="00FC1995" w:rsidP="00FC1995">
      <w:pPr>
        <w:ind w:firstLine="709"/>
        <w:jc w:val="both"/>
        <w:rPr>
          <w:rFonts w:ascii="Times New Roman" w:hAnsi="Times New Roman" w:cs="Times New Roman"/>
          <w:sz w:val="28"/>
          <w:szCs w:val="28"/>
        </w:rPr>
      </w:pPr>
      <w:r w:rsidRPr="00EC20F8">
        <w:rPr>
          <w:rFonts w:ascii="Times New Roman" w:hAnsi="Times New Roman" w:cs="Times New Roman"/>
          <w:sz w:val="28"/>
          <w:szCs w:val="28"/>
        </w:rPr>
        <w:t>В 2014 году и в среднесрочной перспективе на 2015-2017 годы планируется осуществление отдельных государственных полномочий Камчатского края:</w:t>
      </w:r>
    </w:p>
    <w:p w:rsidR="00FC1995" w:rsidRPr="00EC20F8" w:rsidRDefault="00FC1995" w:rsidP="00FC1995">
      <w:pPr>
        <w:ind w:firstLine="709"/>
        <w:jc w:val="both"/>
        <w:rPr>
          <w:b/>
          <w:i/>
          <w:sz w:val="28"/>
          <w:szCs w:val="28"/>
        </w:rPr>
      </w:pPr>
      <w:r w:rsidRPr="00EC20F8">
        <w:rPr>
          <w:rFonts w:ascii="Times New Roman" w:hAnsi="Times New Roman" w:cs="Times New Roman"/>
          <w:sz w:val="28"/>
          <w:szCs w:val="28"/>
        </w:rPr>
        <w:t>1) по организации и осуществлению деятельности по опеке и попечительству в Камчатском крае, а также по предоставлению дополнительной меры социальной поддержки по содержанию отдельных лиц из числа детей-сирот и детей, оставшихся без попечения родителей</w:t>
      </w:r>
      <w:r w:rsidRPr="00EC20F8">
        <w:rPr>
          <w:b/>
          <w:i/>
          <w:sz w:val="28"/>
          <w:szCs w:val="28"/>
        </w:rPr>
        <w:t xml:space="preserve"> </w:t>
      </w:r>
    </w:p>
    <w:p w:rsidR="00FC1995" w:rsidRPr="00EC20F8" w:rsidRDefault="00FC1995" w:rsidP="00FC1995">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Объём субвенции на выполнение государственных полномочий в 2013 году был запланирован в сумме 85 856,62 тыс. рублей, что на 25 922,06 тыс. рублей, или 43,25 % больше запланированных расходов в 2012 году.</w:t>
      </w:r>
    </w:p>
    <w:p w:rsidR="00FC1995" w:rsidRPr="00EC20F8" w:rsidRDefault="00FC1995" w:rsidP="00FC1995">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Фактическое выполнение составило 83 898,38 тыс. рублей, на 40,52 % больше, чем в 2012 году.</w:t>
      </w:r>
    </w:p>
    <w:p w:rsidR="00FC1995" w:rsidRPr="00EC20F8" w:rsidRDefault="00FC1995" w:rsidP="00FC1995">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В 2013 году количество получателей денежного содержания на детей, находящихся под опекой (попечительством),</w:t>
      </w:r>
      <w:r w:rsidRPr="00EC20F8">
        <w:rPr>
          <w:sz w:val="28"/>
          <w:szCs w:val="28"/>
        </w:rPr>
        <w:t xml:space="preserve"> </w:t>
      </w:r>
      <w:r w:rsidRPr="00EC20F8">
        <w:rPr>
          <w:rFonts w:ascii="Times New Roman" w:hAnsi="Times New Roman" w:cs="Times New Roman"/>
          <w:sz w:val="28"/>
          <w:szCs w:val="28"/>
        </w:rPr>
        <w:t xml:space="preserve">составило 403 человека, что на 85 человек, или 26,72 % больше по сравнению с 2012 годом. </w:t>
      </w:r>
    </w:p>
    <w:p w:rsidR="00FC1995" w:rsidRPr="00EC20F8" w:rsidRDefault="00FC1995" w:rsidP="00FC1995">
      <w:pPr>
        <w:pStyle w:val="af7"/>
        <w:tabs>
          <w:tab w:val="num" w:pos="0"/>
        </w:tabs>
        <w:spacing w:before="0" w:beforeAutospacing="0" w:after="0" w:afterAutospacing="0"/>
        <w:ind w:right="76" w:firstLine="709"/>
        <w:jc w:val="both"/>
        <w:rPr>
          <w:sz w:val="28"/>
          <w:szCs w:val="28"/>
        </w:rPr>
      </w:pPr>
    </w:p>
    <w:tbl>
      <w:tblPr>
        <w:tblW w:w="4944" w:type="pct"/>
        <w:tblInd w:w="108" w:type="dxa"/>
        <w:tblLayout w:type="fixed"/>
        <w:tblLook w:val="0000"/>
      </w:tblPr>
      <w:tblGrid>
        <w:gridCol w:w="1986"/>
        <w:gridCol w:w="4128"/>
        <w:gridCol w:w="3350"/>
      </w:tblGrid>
      <w:tr w:rsidR="00FC1995" w:rsidRPr="00EC20F8" w:rsidTr="008D1046">
        <w:trPr>
          <w:trHeight w:val="620"/>
        </w:trPr>
        <w:tc>
          <w:tcPr>
            <w:tcW w:w="1986"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Год</w:t>
            </w:r>
          </w:p>
        </w:tc>
        <w:tc>
          <w:tcPr>
            <w:tcW w:w="4128"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Количество получателей</w:t>
            </w:r>
          </w:p>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(чел.)</w:t>
            </w:r>
          </w:p>
        </w:tc>
        <w:tc>
          <w:tcPr>
            <w:tcW w:w="3350"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Объём субвенции</w:t>
            </w:r>
          </w:p>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(руб.)</w:t>
            </w:r>
          </w:p>
        </w:tc>
      </w:tr>
      <w:tr w:rsidR="00FC1995" w:rsidRPr="00EC20F8" w:rsidTr="008D1046">
        <w:trPr>
          <w:trHeight w:val="317"/>
        </w:trPr>
        <w:tc>
          <w:tcPr>
            <w:tcW w:w="1986"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6 мес. 2014</w:t>
            </w:r>
          </w:p>
        </w:tc>
        <w:tc>
          <w:tcPr>
            <w:tcW w:w="4128"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jc w:val="center"/>
              <w:rPr>
                <w:rFonts w:ascii="Times New Roman" w:hAnsi="Times New Roman" w:cs="Times New Roman"/>
                <w:sz w:val="24"/>
                <w:szCs w:val="24"/>
              </w:rPr>
            </w:pPr>
            <w:r w:rsidRPr="00EC20F8">
              <w:rPr>
                <w:rFonts w:ascii="Times New Roman" w:hAnsi="Times New Roman" w:cs="Times New Roman"/>
                <w:sz w:val="24"/>
                <w:szCs w:val="24"/>
              </w:rPr>
              <w:t>409</w:t>
            </w:r>
          </w:p>
        </w:tc>
        <w:tc>
          <w:tcPr>
            <w:tcW w:w="3350"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jc w:val="center"/>
              <w:rPr>
                <w:rFonts w:ascii="Times New Roman" w:hAnsi="Times New Roman" w:cs="Times New Roman"/>
                <w:sz w:val="24"/>
                <w:szCs w:val="24"/>
              </w:rPr>
            </w:pPr>
            <w:r w:rsidRPr="00EC20F8">
              <w:rPr>
                <w:rFonts w:ascii="Times New Roman" w:hAnsi="Times New Roman" w:cs="Times New Roman"/>
                <w:bCs/>
                <w:sz w:val="24"/>
                <w:szCs w:val="20"/>
              </w:rPr>
              <w:t>44 998 003,90</w:t>
            </w:r>
          </w:p>
        </w:tc>
      </w:tr>
      <w:tr w:rsidR="00FC1995" w:rsidRPr="00EC20F8" w:rsidTr="008D1046">
        <w:trPr>
          <w:trHeight w:val="317"/>
        </w:trPr>
        <w:tc>
          <w:tcPr>
            <w:tcW w:w="1986"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Оценка 2014</w:t>
            </w:r>
          </w:p>
        </w:tc>
        <w:tc>
          <w:tcPr>
            <w:tcW w:w="4128"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410</w:t>
            </w:r>
          </w:p>
        </w:tc>
        <w:tc>
          <w:tcPr>
            <w:tcW w:w="3350"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jc w:val="center"/>
              <w:rPr>
                <w:rFonts w:ascii="Times New Roman" w:hAnsi="Times New Roman" w:cs="Times New Roman"/>
                <w:sz w:val="24"/>
                <w:szCs w:val="24"/>
              </w:rPr>
            </w:pPr>
            <w:r w:rsidRPr="00EC20F8">
              <w:rPr>
                <w:rFonts w:ascii="Times New Roman" w:hAnsi="Times New Roman" w:cs="Times New Roman"/>
                <w:sz w:val="24"/>
                <w:szCs w:val="24"/>
              </w:rPr>
              <w:t xml:space="preserve">110 579 000,00 </w:t>
            </w:r>
          </w:p>
        </w:tc>
      </w:tr>
      <w:tr w:rsidR="00FC1995" w:rsidRPr="00EC20F8" w:rsidTr="008D1046">
        <w:trPr>
          <w:trHeight w:val="317"/>
        </w:trPr>
        <w:tc>
          <w:tcPr>
            <w:tcW w:w="1986"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2015</w:t>
            </w:r>
          </w:p>
        </w:tc>
        <w:tc>
          <w:tcPr>
            <w:tcW w:w="4128"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412</w:t>
            </w:r>
          </w:p>
        </w:tc>
        <w:tc>
          <w:tcPr>
            <w:tcW w:w="3350"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jc w:val="center"/>
              <w:rPr>
                <w:rFonts w:ascii="Times New Roman" w:hAnsi="Times New Roman" w:cs="Times New Roman"/>
                <w:bCs/>
                <w:sz w:val="24"/>
                <w:szCs w:val="20"/>
              </w:rPr>
            </w:pPr>
            <w:r w:rsidRPr="00EC20F8">
              <w:rPr>
                <w:rFonts w:ascii="Times New Roman" w:hAnsi="Times New Roman" w:cs="Times New Roman"/>
                <w:bCs/>
                <w:sz w:val="24"/>
                <w:szCs w:val="20"/>
              </w:rPr>
              <w:t>112 982 000,00</w:t>
            </w:r>
          </w:p>
        </w:tc>
      </w:tr>
      <w:tr w:rsidR="00FC1995" w:rsidRPr="00EC20F8" w:rsidTr="008D1046">
        <w:trPr>
          <w:trHeight w:val="317"/>
        </w:trPr>
        <w:tc>
          <w:tcPr>
            <w:tcW w:w="1986"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2016</w:t>
            </w:r>
          </w:p>
        </w:tc>
        <w:tc>
          <w:tcPr>
            <w:tcW w:w="4128"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414</w:t>
            </w:r>
          </w:p>
        </w:tc>
        <w:tc>
          <w:tcPr>
            <w:tcW w:w="3350"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jc w:val="center"/>
              <w:rPr>
                <w:rFonts w:ascii="Times New Roman" w:hAnsi="Times New Roman" w:cs="Times New Roman"/>
                <w:bCs/>
                <w:sz w:val="24"/>
                <w:szCs w:val="20"/>
              </w:rPr>
            </w:pPr>
            <w:r w:rsidRPr="00EC20F8">
              <w:rPr>
                <w:rFonts w:ascii="Times New Roman" w:hAnsi="Times New Roman" w:cs="Times New Roman"/>
                <w:bCs/>
                <w:sz w:val="24"/>
                <w:szCs w:val="20"/>
              </w:rPr>
              <w:t>115 506 000,00</w:t>
            </w:r>
          </w:p>
        </w:tc>
      </w:tr>
    </w:tbl>
    <w:p w:rsidR="00FC1995" w:rsidRPr="00EC20F8" w:rsidRDefault="00FC1995" w:rsidP="00FC1995">
      <w:pPr>
        <w:ind w:firstLine="709"/>
        <w:jc w:val="both"/>
        <w:rPr>
          <w:rFonts w:ascii="Times New Roman" w:hAnsi="Times New Roman" w:cs="Times New Roman"/>
          <w:sz w:val="28"/>
          <w:szCs w:val="28"/>
        </w:rPr>
      </w:pPr>
    </w:p>
    <w:p w:rsidR="00FC1995" w:rsidRPr="00EC20F8" w:rsidRDefault="00FC1995" w:rsidP="00FC1995">
      <w:pPr>
        <w:ind w:firstLine="709"/>
        <w:jc w:val="both"/>
        <w:rPr>
          <w:rFonts w:ascii="Times New Roman" w:hAnsi="Times New Roman" w:cs="Times New Roman"/>
          <w:b/>
          <w:i/>
          <w:sz w:val="28"/>
          <w:szCs w:val="28"/>
        </w:rPr>
      </w:pPr>
      <w:r w:rsidRPr="00EC20F8">
        <w:rPr>
          <w:rFonts w:ascii="Times New Roman" w:hAnsi="Times New Roman" w:cs="Times New Roman"/>
          <w:sz w:val="28"/>
          <w:szCs w:val="28"/>
        </w:rPr>
        <w:t>2) по реализации переданных государственных полномочий Камчатского края по выплате компенсации части платы за содержание ребенка в государственных и муниципальных дошкольных учреждениях.</w:t>
      </w:r>
    </w:p>
    <w:p w:rsidR="00FC1995" w:rsidRPr="00EC20F8" w:rsidRDefault="00FC1995" w:rsidP="00FC1995">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Объём субвенции на выполнение государственных полномочий в 2013 году был запланирован в сумме 31 091,93 тыс. рублей, что на 7 398,47 тыс. рублей, или 31,26 % больше запланированных расходов в 2012 году.</w:t>
      </w:r>
    </w:p>
    <w:p w:rsidR="00FC1995" w:rsidRPr="00EC20F8" w:rsidRDefault="00FC1995" w:rsidP="00FC1995">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Фактическое выполнение составило 26 818,12 тыс. рублей, что на            4 269,31 тыс. рублей, или 18,93 % больше, чем в 2012 году.</w:t>
      </w:r>
    </w:p>
    <w:p w:rsidR="00FC1995" w:rsidRPr="00EC20F8" w:rsidRDefault="00FC1995" w:rsidP="00FC1995">
      <w:pPr>
        <w:pStyle w:val="af7"/>
        <w:tabs>
          <w:tab w:val="num" w:pos="0"/>
        </w:tabs>
        <w:spacing w:before="0" w:beforeAutospacing="0" w:after="0" w:afterAutospacing="0"/>
        <w:ind w:right="76" w:firstLine="709"/>
        <w:jc w:val="both"/>
        <w:rPr>
          <w:sz w:val="28"/>
          <w:szCs w:val="28"/>
        </w:rPr>
      </w:pPr>
      <w:r w:rsidRPr="00EC20F8">
        <w:rPr>
          <w:sz w:val="28"/>
          <w:szCs w:val="28"/>
        </w:rPr>
        <w:t xml:space="preserve">В 2013 году количество получателей составило 4 516 человек, на 358 человек, или 8,61%, больше по сравнению с 2012 годом. </w:t>
      </w:r>
    </w:p>
    <w:p w:rsidR="00FC1995" w:rsidRPr="00EC20F8" w:rsidRDefault="00FC1995" w:rsidP="00FC1995">
      <w:pPr>
        <w:pStyle w:val="af7"/>
        <w:tabs>
          <w:tab w:val="num" w:pos="0"/>
        </w:tabs>
        <w:spacing w:before="0" w:beforeAutospacing="0" w:after="0" w:afterAutospacing="0"/>
        <w:ind w:right="76" w:firstLine="709"/>
        <w:jc w:val="both"/>
        <w:rPr>
          <w:sz w:val="28"/>
          <w:szCs w:val="28"/>
        </w:rPr>
      </w:pPr>
    </w:p>
    <w:tbl>
      <w:tblPr>
        <w:tblW w:w="5000" w:type="pct"/>
        <w:tblLayout w:type="fixed"/>
        <w:tblLook w:val="0000"/>
      </w:tblPr>
      <w:tblGrid>
        <w:gridCol w:w="1951"/>
        <w:gridCol w:w="4270"/>
        <w:gridCol w:w="3350"/>
      </w:tblGrid>
      <w:tr w:rsidR="00FC1995" w:rsidRPr="00EC20F8" w:rsidTr="008D1046">
        <w:trPr>
          <w:trHeight w:val="620"/>
        </w:trPr>
        <w:tc>
          <w:tcPr>
            <w:tcW w:w="1951"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Год</w:t>
            </w:r>
          </w:p>
        </w:tc>
        <w:tc>
          <w:tcPr>
            <w:tcW w:w="4270"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Количество получателей</w:t>
            </w:r>
          </w:p>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(чел.)</w:t>
            </w:r>
          </w:p>
        </w:tc>
        <w:tc>
          <w:tcPr>
            <w:tcW w:w="3350"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Объём субвенции</w:t>
            </w:r>
          </w:p>
          <w:p w:rsidR="00FC1995" w:rsidRPr="00EC20F8" w:rsidRDefault="00FC1995" w:rsidP="008D1046">
            <w:pPr>
              <w:spacing w:line="240" w:lineRule="auto"/>
              <w:jc w:val="center"/>
              <w:rPr>
                <w:rFonts w:ascii="Times New Roman" w:hAnsi="Times New Roman" w:cs="Times New Roman"/>
                <w:b/>
                <w:sz w:val="24"/>
                <w:szCs w:val="24"/>
              </w:rPr>
            </w:pPr>
            <w:r w:rsidRPr="00EC20F8">
              <w:rPr>
                <w:rFonts w:ascii="Times New Roman" w:hAnsi="Times New Roman" w:cs="Times New Roman"/>
                <w:b/>
                <w:sz w:val="24"/>
                <w:szCs w:val="24"/>
              </w:rPr>
              <w:t>(руб.)</w:t>
            </w:r>
          </w:p>
        </w:tc>
      </w:tr>
      <w:tr w:rsidR="00FC1995" w:rsidRPr="00EC20F8" w:rsidTr="008D1046">
        <w:trPr>
          <w:trHeight w:val="317"/>
        </w:trPr>
        <w:tc>
          <w:tcPr>
            <w:tcW w:w="1951"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6 мес. 2014</w:t>
            </w:r>
          </w:p>
        </w:tc>
        <w:tc>
          <w:tcPr>
            <w:tcW w:w="4270"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jc w:val="center"/>
              <w:rPr>
                <w:rFonts w:ascii="Times New Roman" w:hAnsi="Times New Roman" w:cs="Times New Roman"/>
                <w:sz w:val="24"/>
                <w:szCs w:val="24"/>
              </w:rPr>
            </w:pPr>
            <w:r w:rsidRPr="00EC20F8">
              <w:rPr>
                <w:rFonts w:ascii="Times New Roman" w:hAnsi="Times New Roman" w:cs="Times New Roman"/>
                <w:sz w:val="24"/>
                <w:szCs w:val="24"/>
              </w:rPr>
              <w:t>4749</w:t>
            </w:r>
          </w:p>
        </w:tc>
        <w:tc>
          <w:tcPr>
            <w:tcW w:w="3350"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jc w:val="center"/>
              <w:rPr>
                <w:rFonts w:ascii="Times New Roman" w:hAnsi="Times New Roman" w:cs="Times New Roman"/>
                <w:sz w:val="24"/>
                <w:szCs w:val="24"/>
              </w:rPr>
            </w:pPr>
            <w:r w:rsidRPr="00EC20F8">
              <w:rPr>
                <w:rFonts w:ascii="Times New Roman" w:hAnsi="Times New Roman" w:cs="Times New Roman"/>
                <w:sz w:val="24"/>
                <w:szCs w:val="24"/>
              </w:rPr>
              <w:t>16 232 658,29</w:t>
            </w:r>
          </w:p>
        </w:tc>
      </w:tr>
      <w:tr w:rsidR="00FC1995" w:rsidRPr="00EC20F8" w:rsidTr="008D1046">
        <w:trPr>
          <w:trHeight w:val="317"/>
        </w:trPr>
        <w:tc>
          <w:tcPr>
            <w:tcW w:w="1951"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Оценка 2014</w:t>
            </w:r>
          </w:p>
        </w:tc>
        <w:tc>
          <w:tcPr>
            <w:tcW w:w="4270"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5000</w:t>
            </w:r>
          </w:p>
        </w:tc>
        <w:tc>
          <w:tcPr>
            <w:tcW w:w="3350" w:type="dxa"/>
            <w:tcBorders>
              <w:top w:val="single" w:sz="4" w:space="0" w:color="auto"/>
              <w:left w:val="single" w:sz="4" w:space="0" w:color="auto"/>
              <w:bottom w:val="single" w:sz="4" w:space="0" w:color="auto"/>
              <w:right w:val="single" w:sz="4" w:space="0" w:color="auto"/>
            </w:tcBorders>
          </w:tcPr>
          <w:p w:rsidR="00FC1995" w:rsidRPr="00EC20F8" w:rsidRDefault="00AD14BF"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35 150 300,00</w:t>
            </w:r>
          </w:p>
        </w:tc>
      </w:tr>
      <w:tr w:rsidR="00FC1995" w:rsidRPr="00EC20F8" w:rsidTr="008D1046">
        <w:trPr>
          <w:trHeight w:val="317"/>
        </w:trPr>
        <w:tc>
          <w:tcPr>
            <w:tcW w:w="1951"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2015</w:t>
            </w:r>
          </w:p>
        </w:tc>
        <w:tc>
          <w:tcPr>
            <w:tcW w:w="4270"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5000</w:t>
            </w:r>
          </w:p>
        </w:tc>
        <w:tc>
          <w:tcPr>
            <w:tcW w:w="3350"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81 197 000,00</w:t>
            </w:r>
          </w:p>
        </w:tc>
      </w:tr>
      <w:tr w:rsidR="00FC1995" w:rsidRPr="00EC20F8" w:rsidTr="008D1046">
        <w:trPr>
          <w:trHeight w:val="317"/>
        </w:trPr>
        <w:tc>
          <w:tcPr>
            <w:tcW w:w="1951"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2016</w:t>
            </w:r>
          </w:p>
        </w:tc>
        <w:tc>
          <w:tcPr>
            <w:tcW w:w="4270"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5000</w:t>
            </w:r>
          </w:p>
        </w:tc>
        <w:tc>
          <w:tcPr>
            <w:tcW w:w="3350"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81 197 000,00</w:t>
            </w:r>
          </w:p>
        </w:tc>
      </w:tr>
      <w:tr w:rsidR="00FC1995" w:rsidRPr="00EC20F8" w:rsidTr="008D1046">
        <w:trPr>
          <w:trHeight w:val="317"/>
        </w:trPr>
        <w:tc>
          <w:tcPr>
            <w:tcW w:w="1951"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2017</w:t>
            </w:r>
          </w:p>
        </w:tc>
        <w:tc>
          <w:tcPr>
            <w:tcW w:w="4270"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5000</w:t>
            </w:r>
          </w:p>
        </w:tc>
        <w:tc>
          <w:tcPr>
            <w:tcW w:w="3350" w:type="dxa"/>
            <w:tcBorders>
              <w:top w:val="single" w:sz="4" w:space="0" w:color="auto"/>
              <w:left w:val="single" w:sz="4" w:space="0" w:color="auto"/>
              <w:bottom w:val="single" w:sz="4" w:space="0" w:color="auto"/>
              <w:right w:val="single" w:sz="4" w:space="0" w:color="auto"/>
            </w:tcBorders>
          </w:tcPr>
          <w:p w:rsidR="00FC1995" w:rsidRPr="00EC20F8" w:rsidRDefault="00FC1995" w:rsidP="008D1046">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81 197 000,00</w:t>
            </w:r>
          </w:p>
        </w:tc>
      </w:tr>
    </w:tbl>
    <w:p w:rsidR="003E40C3" w:rsidRPr="00EC20F8" w:rsidRDefault="003E40C3" w:rsidP="00FC1995">
      <w:pPr>
        <w:spacing w:line="240" w:lineRule="auto"/>
        <w:ind w:firstLine="709"/>
        <w:jc w:val="both"/>
        <w:rPr>
          <w:sz w:val="28"/>
          <w:szCs w:val="28"/>
        </w:rPr>
      </w:pPr>
    </w:p>
    <w:p w:rsidR="00FC1995" w:rsidRPr="00EC20F8" w:rsidRDefault="00FC1995" w:rsidP="00FC1995">
      <w:pPr>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Несмотря на позитивные изменения, происходящие в сфере социального обслуживания, и прогнозируемый рост показателей социально-экономического развития городского округа остаются нерешёнными проблемы с внеочередным обслуживанием социальных работников при исполнении ими должностных обязанностей в учреждениях здравоохранения, с госпитализацией престарелых граждан и инвалидов в отделение сестринского ухода ГБУЗКК «Петропавловск-Камчатская городская гериатрическая больница».</w:t>
      </w:r>
      <w:proofErr w:type="gramEnd"/>
      <w:r w:rsidRPr="00EC20F8">
        <w:rPr>
          <w:rFonts w:ascii="Times New Roman" w:hAnsi="Times New Roman" w:cs="Times New Roman"/>
          <w:sz w:val="28"/>
          <w:szCs w:val="28"/>
        </w:rPr>
        <w:t xml:space="preserve"> </w:t>
      </w:r>
      <w:proofErr w:type="gramStart"/>
      <w:r w:rsidRPr="00EC20F8">
        <w:rPr>
          <w:rFonts w:ascii="Times New Roman" w:hAnsi="Times New Roman" w:cs="Times New Roman"/>
          <w:sz w:val="28"/>
          <w:szCs w:val="28"/>
        </w:rPr>
        <w:t xml:space="preserve">Необходимо внесение изменений в </w:t>
      </w:r>
      <w:r w:rsidRPr="00EC20F8">
        <w:rPr>
          <w:rFonts w:ascii="Times New Roman" w:eastAsia="Times New Roman" w:hAnsi="Times New Roman" w:cs="Times New Roman"/>
          <w:sz w:val="28"/>
          <w:szCs w:val="28"/>
        </w:rPr>
        <w:t xml:space="preserve">нормативные </w:t>
      </w:r>
      <w:r w:rsidRPr="00EC20F8">
        <w:rPr>
          <w:rFonts w:ascii="Times New Roman" w:hAnsi="Times New Roman" w:cs="Times New Roman"/>
          <w:sz w:val="28"/>
          <w:szCs w:val="28"/>
        </w:rPr>
        <w:t xml:space="preserve">правовые акты по </w:t>
      </w:r>
      <w:r w:rsidRPr="00EC20F8">
        <w:rPr>
          <w:rFonts w:ascii="Times New Roman" w:eastAsia="Times New Roman" w:hAnsi="Times New Roman" w:cs="Times New Roman"/>
          <w:sz w:val="28"/>
          <w:szCs w:val="28"/>
        </w:rPr>
        <w:t>установлен</w:t>
      </w:r>
      <w:r w:rsidRPr="00EC20F8">
        <w:rPr>
          <w:rFonts w:ascii="Times New Roman" w:hAnsi="Times New Roman" w:cs="Times New Roman"/>
          <w:sz w:val="28"/>
          <w:szCs w:val="28"/>
        </w:rPr>
        <w:t>ию</w:t>
      </w:r>
      <w:r w:rsidRPr="00EC20F8">
        <w:rPr>
          <w:rFonts w:ascii="Times New Roman" w:eastAsia="Times New Roman" w:hAnsi="Times New Roman" w:cs="Times New Roman"/>
          <w:sz w:val="28"/>
          <w:szCs w:val="28"/>
        </w:rPr>
        <w:t xml:space="preserve"> условий приёма граждан на социальное обслуживание (до сих пор отсутствуют критерии степени утраты способности к самообслуживанию).</w:t>
      </w:r>
      <w:proofErr w:type="gramEnd"/>
      <w:r w:rsidRPr="00EC20F8">
        <w:rPr>
          <w:rFonts w:ascii="Times New Roman" w:eastAsia="Times New Roman" w:hAnsi="Times New Roman" w:cs="Times New Roman"/>
          <w:sz w:val="28"/>
          <w:szCs w:val="28"/>
        </w:rPr>
        <w:t xml:space="preserve"> О</w:t>
      </w:r>
      <w:r w:rsidRPr="00EC20F8">
        <w:rPr>
          <w:rFonts w:ascii="Times New Roman" w:hAnsi="Times New Roman" w:cs="Times New Roman"/>
          <w:sz w:val="28"/>
          <w:szCs w:val="28"/>
        </w:rPr>
        <w:t xml:space="preserve">тсутствие </w:t>
      </w:r>
      <w:bookmarkStart w:id="89" w:name="sub_706"/>
      <w:proofErr w:type="gramStart"/>
      <w:r w:rsidRPr="00EC20F8">
        <w:rPr>
          <w:rFonts w:ascii="Times New Roman" w:hAnsi="Times New Roman" w:cs="Times New Roman"/>
          <w:sz w:val="28"/>
          <w:szCs w:val="28"/>
        </w:rPr>
        <w:t>методики расчета норматива затрат рабочего времени специалиста</w:t>
      </w:r>
      <w:proofErr w:type="gramEnd"/>
      <w:r w:rsidRPr="00EC20F8">
        <w:rPr>
          <w:rFonts w:ascii="Times New Roman" w:hAnsi="Times New Roman" w:cs="Times New Roman"/>
          <w:sz w:val="28"/>
          <w:szCs w:val="28"/>
        </w:rPr>
        <w:t xml:space="preserve"> на оказание социально-бытовых услуг затрудняет внедрение дополнительных платных социальных услуг.</w:t>
      </w:r>
    </w:p>
    <w:bookmarkEnd w:id="89"/>
    <w:p w:rsidR="00FC1995" w:rsidRPr="00EC20F8" w:rsidRDefault="00FC1995" w:rsidP="00FC1995">
      <w:pPr>
        <w:spacing w:line="240" w:lineRule="auto"/>
        <w:ind w:firstLine="709"/>
        <w:contextualSpacing/>
        <w:jc w:val="both"/>
        <w:rPr>
          <w:rFonts w:ascii="Times New Roman" w:hAnsi="Times New Roman" w:cs="Times New Roman"/>
          <w:sz w:val="28"/>
          <w:szCs w:val="28"/>
        </w:rPr>
      </w:pPr>
      <w:r w:rsidRPr="00EC20F8">
        <w:rPr>
          <w:rFonts w:ascii="Times New Roman" w:hAnsi="Times New Roman" w:cs="Times New Roman"/>
          <w:sz w:val="28"/>
          <w:szCs w:val="28"/>
        </w:rPr>
        <w:t>Ситуация с предоставлением социальных услуг и мер социальной поддержки в городском округе является стабильной, чему способствуют следующие благоприятные факторы, сложившиеся в системе социального обслуживания населения:</w:t>
      </w:r>
    </w:p>
    <w:p w:rsidR="00FC1995" w:rsidRPr="00EC20F8" w:rsidRDefault="00FC1995" w:rsidP="00FC1995">
      <w:pPr>
        <w:spacing w:line="270" w:lineRule="atLeast"/>
        <w:ind w:right="-1" w:firstLine="709"/>
        <w:jc w:val="both"/>
        <w:outlineLvl w:val="2"/>
        <w:rPr>
          <w:rFonts w:ascii="Times New Roman" w:hAnsi="Times New Roman" w:cs="Times New Roman"/>
          <w:sz w:val="28"/>
          <w:szCs w:val="24"/>
        </w:rPr>
      </w:pPr>
      <w:proofErr w:type="gramStart"/>
      <w:r w:rsidRPr="00EC20F8">
        <w:rPr>
          <w:rFonts w:ascii="Times New Roman" w:hAnsi="Times New Roman" w:cs="Times New Roman"/>
          <w:sz w:val="28"/>
          <w:szCs w:val="28"/>
        </w:rPr>
        <w:t xml:space="preserve">- постоянная актуализация мер социальной поддержки населения в соответствии со сложившейся </w:t>
      </w:r>
      <w:r w:rsidRPr="00EC20F8">
        <w:rPr>
          <w:rFonts w:ascii="Times New Roman" w:eastAsia="Calibri" w:hAnsi="Times New Roman" w:cs="Times New Roman"/>
          <w:sz w:val="28"/>
          <w:szCs w:val="24"/>
        </w:rPr>
        <w:t>в городском округе, в Камчатском крае и в целом в Российской Федерации социально-экономическ</w:t>
      </w:r>
      <w:r w:rsidRPr="00EC20F8">
        <w:rPr>
          <w:rFonts w:ascii="Times New Roman" w:hAnsi="Times New Roman" w:cs="Times New Roman"/>
          <w:sz w:val="28"/>
          <w:szCs w:val="24"/>
        </w:rPr>
        <w:t>ой</w:t>
      </w:r>
      <w:r w:rsidRPr="00EC20F8">
        <w:rPr>
          <w:rFonts w:ascii="Times New Roman" w:eastAsia="Calibri" w:hAnsi="Times New Roman" w:cs="Times New Roman"/>
          <w:sz w:val="28"/>
          <w:szCs w:val="24"/>
        </w:rPr>
        <w:t xml:space="preserve"> ситуаци</w:t>
      </w:r>
      <w:r w:rsidRPr="00EC20F8">
        <w:rPr>
          <w:rFonts w:ascii="Times New Roman" w:hAnsi="Times New Roman" w:cs="Times New Roman"/>
          <w:sz w:val="28"/>
          <w:szCs w:val="24"/>
        </w:rPr>
        <w:t>ей</w:t>
      </w:r>
      <w:r w:rsidRPr="00EC20F8">
        <w:rPr>
          <w:rFonts w:ascii="Times New Roman" w:eastAsia="Calibri" w:hAnsi="Times New Roman" w:cs="Times New Roman"/>
          <w:sz w:val="28"/>
          <w:szCs w:val="24"/>
        </w:rPr>
        <w:t xml:space="preserve">, а также </w:t>
      </w:r>
      <w:r w:rsidRPr="00EC20F8">
        <w:rPr>
          <w:rFonts w:ascii="Times New Roman" w:hAnsi="Times New Roman" w:cs="Times New Roman"/>
          <w:sz w:val="28"/>
          <w:szCs w:val="24"/>
        </w:rPr>
        <w:t xml:space="preserve">в соответствии с </w:t>
      </w:r>
      <w:r w:rsidRPr="00EC20F8">
        <w:rPr>
          <w:rFonts w:ascii="Times New Roman" w:eastAsia="Calibri" w:hAnsi="Times New Roman" w:cs="Times New Roman"/>
          <w:sz w:val="28"/>
          <w:szCs w:val="24"/>
        </w:rPr>
        <w:t>изменения</w:t>
      </w:r>
      <w:r w:rsidRPr="00EC20F8">
        <w:rPr>
          <w:rFonts w:ascii="Times New Roman" w:hAnsi="Times New Roman" w:cs="Times New Roman"/>
          <w:sz w:val="28"/>
          <w:szCs w:val="24"/>
        </w:rPr>
        <w:t>ми</w:t>
      </w:r>
      <w:r w:rsidRPr="00EC20F8">
        <w:rPr>
          <w:rFonts w:ascii="Times New Roman" w:eastAsia="Calibri" w:hAnsi="Times New Roman" w:cs="Times New Roman"/>
          <w:sz w:val="28"/>
          <w:szCs w:val="24"/>
        </w:rPr>
        <w:t>, вносимы</w:t>
      </w:r>
      <w:r w:rsidRPr="00EC20F8">
        <w:rPr>
          <w:rFonts w:ascii="Times New Roman" w:hAnsi="Times New Roman" w:cs="Times New Roman"/>
          <w:sz w:val="28"/>
          <w:szCs w:val="24"/>
        </w:rPr>
        <w:t>ми</w:t>
      </w:r>
      <w:r w:rsidRPr="00EC20F8">
        <w:rPr>
          <w:rFonts w:ascii="Times New Roman" w:eastAsia="Calibri" w:hAnsi="Times New Roman" w:cs="Times New Roman"/>
          <w:sz w:val="28"/>
          <w:szCs w:val="24"/>
        </w:rPr>
        <w:t xml:space="preserve"> в законодательные акты всех уровней</w:t>
      </w:r>
      <w:r w:rsidRPr="00EC20F8">
        <w:rPr>
          <w:rFonts w:ascii="Times New Roman" w:hAnsi="Times New Roman" w:cs="Times New Roman"/>
          <w:sz w:val="28"/>
          <w:szCs w:val="24"/>
        </w:rPr>
        <w:t>;</w:t>
      </w:r>
      <w:proofErr w:type="gramEnd"/>
    </w:p>
    <w:p w:rsidR="00FC1995" w:rsidRPr="00EC20F8" w:rsidRDefault="00FC1995" w:rsidP="00FC1995">
      <w:pPr>
        <w:spacing w:line="270" w:lineRule="atLeast"/>
        <w:ind w:right="-1" w:firstLine="709"/>
        <w:jc w:val="both"/>
        <w:outlineLvl w:val="2"/>
        <w:rPr>
          <w:rFonts w:ascii="Times New Roman" w:hAnsi="Times New Roman" w:cs="Times New Roman"/>
          <w:sz w:val="28"/>
          <w:szCs w:val="24"/>
        </w:rPr>
      </w:pPr>
      <w:r w:rsidRPr="00EC20F8">
        <w:rPr>
          <w:rFonts w:ascii="Times New Roman" w:hAnsi="Times New Roman" w:cs="Times New Roman"/>
          <w:sz w:val="28"/>
          <w:szCs w:val="24"/>
        </w:rPr>
        <w:t>- э</w:t>
      </w:r>
      <w:r w:rsidRPr="00EC20F8">
        <w:rPr>
          <w:rFonts w:ascii="Times New Roman" w:hAnsi="Times New Roman" w:cs="Times New Roman"/>
          <w:sz w:val="28"/>
          <w:szCs w:val="28"/>
        </w:rPr>
        <w:t xml:space="preserve">ффективность мер социальной поддержки; </w:t>
      </w:r>
    </w:p>
    <w:p w:rsidR="00FC1995" w:rsidRPr="00EC20F8" w:rsidRDefault="00FC1995" w:rsidP="00FC1995">
      <w:pPr>
        <w:spacing w:line="270" w:lineRule="atLeast"/>
        <w:ind w:right="-456" w:firstLine="709"/>
        <w:jc w:val="both"/>
        <w:outlineLvl w:val="2"/>
        <w:rPr>
          <w:rFonts w:ascii="Times New Roman" w:hAnsi="Times New Roman" w:cs="Times New Roman"/>
          <w:sz w:val="28"/>
          <w:szCs w:val="28"/>
        </w:rPr>
      </w:pPr>
      <w:r w:rsidRPr="00EC20F8">
        <w:rPr>
          <w:rFonts w:ascii="Times New Roman" w:eastAsia="Calibri" w:hAnsi="Times New Roman" w:cs="Times New Roman"/>
          <w:sz w:val="28"/>
          <w:szCs w:val="24"/>
        </w:rPr>
        <w:t>-</w:t>
      </w:r>
      <w:r w:rsidRPr="00EC20F8">
        <w:rPr>
          <w:rFonts w:ascii="Calibri" w:eastAsia="Calibri" w:hAnsi="Calibri" w:cs="Times New Roman"/>
          <w:sz w:val="28"/>
          <w:szCs w:val="24"/>
        </w:rPr>
        <w:t xml:space="preserve"> </w:t>
      </w:r>
      <w:r w:rsidRPr="00EC20F8">
        <w:rPr>
          <w:rFonts w:ascii="Times New Roman" w:hAnsi="Times New Roman" w:cs="Times New Roman"/>
          <w:sz w:val="28"/>
          <w:szCs w:val="28"/>
        </w:rPr>
        <w:t xml:space="preserve">повышение </w:t>
      </w:r>
      <w:proofErr w:type="gramStart"/>
      <w:r w:rsidRPr="00EC20F8">
        <w:rPr>
          <w:rFonts w:ascii="Times New Roman" w:hAnsi="Times New Roman" w:cs="Times New Roman"/>
          <w:sz w:val="28"/>
          <w:szCs w:val="28"/>
        </w:rPr>
        <w:t>уровня оплаты труда социальных работников</w:t>
      </w:r>
      <w:proofErr w:type="gramEnd"/>
      <w:r w:rsidRPr="00EC20F8">
        <w:rPr>
          <w:rFonts w:ascii="Times New Roman" w:hAnsi="Times New Roman" w:cs="Times New Roman"/>
          <w:sz w:val="28"/>
          <w:szCs w:val="28"/>
        </w:rPr>
        <w:t>;</w:t>
      </w:r>
    </w:p>
    <w:p w:rsidR="00FC1995" w:rsidRPr="00EC20F8" w:rsidRDefault="00FC1995" w:rsidP="00FC1995">
      <w:pPr>
        <w:spacing w:line="270" w:lineRule="atLeast"/>
        <w:ind w:right="-1" w:firstLine="709"/>
        <w:jc w:val="both"/>
        <w:outlineLvl w:val="2"/>
        <w:rPr>
          <w:rFonts w:ascii="Times New Roman" w:hAnsi="Times New Roman" w:cs="Times New Roman"/>
          <w:sz w:val="28"/>
          <w:szCs w:val="28"/>
        </w:rPr>
      </w:pPr>
      <w:r w:rsidRPr="00EC20F8">
        <w:rPr>
          <w:rFonts w:ascii="Times New Roman" w:hAnsi="Times New Roman" w:cs="Times New Roman"/>
          <w:sz w:val="28"/>
          <w:szCs w:val="28"/>
        </w:rPr>
        <w:t>- повышение качества, количества и уровня предоставляемых социальных услуг и мер социальной поддержки;</w:t>
      </w:r>
    </w:p>
    <w:p w:rsidR="00FC1995" w:rsidRPr="00EC20F8" w:rsidRDefault="00FC1995" w:rsidP="00FC1995">
      <w:pPr>
        <w:spacing w:line="270" w:lineRule="atLeast"/>
        <w:ind w:right="-1" w:firstLine="709"/>
        <w:jc w:val="both"/>
        <w:outlineLvl w:val="2"/>
        <w:rPr>
          <w:rFonts w:ascii="Times New Roman" w:hAnsi="Times New Roman" w:cs="Times New Roman"/>
          <w:sz w:val="28"/>
          <w:szCs w:val="28"/>
        </w:rPr>
      </w:pPr>
      <w:r w:rsidRPr="00EC20F8">
        <w:rPr>
          <w:rFonts w:ascii="Times New Roman" w:hAnsi="Times New Roman" w:cs="Times New Roman"/>
          <w:sz w:val="28"/>
          <w:szCs w:val="28"/>
        </w:rPr>
        <w:t>- внедрение новых форм и методов социального обслуживания населения;</w:t>
      </w:r>
    </w:p>
    <w:p w:rsidR="00FC1995" w:rsidRPr="00EC20F8" w:rsidRDefault="00FC1995" w:rsidP="00FC1995">
      <w:pPr>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стабильная социальная обстановка в городском округе, низкая социальная напряженность;</w:t>
      </w:r>
    </w:p>
    <w:p w:rsidR="00FC1995" w:rsidRPr="00EC20F8" w:rsidRDefault="00FC1995" w:rsidP="00FC1995">
      <w:pPr>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xml:space="preserve">- обеспечение дополнительной социальной помощи лицам пожилого возраста, лицам с ограниченными возможностями здоровья, семьям с несовершеннолетними детьми; </w:t>
      </w:r>
    </w:p>
    <w:p w:rsidR="00FC1995" w:rsidRPr="00EC20F8" w:rsidRDefault="00FC1995" w:rsidP="00FC1995">
      <w:pPr>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повышение качества и уровня жизни пожилых граждан, инвалидов и семей с несовершеннолетними детьми.</w:t>
      </w:r>
    </w:p>
    <w:p w:rsidR="00FC1995" w:rsidRPr="00EC20F8" w:rsidRDefault="00FC1995" w:rsidP="00FC1995">
      <w:pPr>
        <w:spacing w:line="270" w:lineRule="atLeast"/>
        <w:ind w:right="-1" w:firstLine="709"/>
        <w:jc w:val="both"/>
        <w:outlineLvl w:val="2"/>
        <w:rPr>
          <w:rFonts w:ascii="Times New Roman" w:hAnsi="Times New Roman" w:cs="Times New Roman"/>
          <w:sz w:val="28"/>
          <w:szCs w:val="28"/>
        </w:rPr>
      </w:pPr>
      <w:r w:rsidRPr="00EC20F8">
        <w:rPr>
          <w:rFonts w:ascii="Times New Roman" w:hAnsi="Times New Roman" w:cs="Times New Roman"/>
          <w:sz w:val="28"/>
          <w:szCs w:val="28"/>
        </w:rPr>
        <w:t>Неблагоприятными факторами остаются:</w:t>
      </w:r>
    </w:p>
    <w:p w:rsidR="00FC1995" w:rsidRPr="00EC20F8" w:rsidRDefault="00FC1995" w:rsidP="00FC1995">
      <w:pPr>
        <w:spacing w:line="270" w:lineRule="atLeast"/>
        <w:ind w:right="-1" w:firstLine="709"/>
        <w:jc w:val="both"/>
        <w:outlineLvl w:val="2"/>
        <w:rPr>
          <w:rFonts w:ascii="Times New Roman" w:hAnsi="Times New Roman" w:cs="Times New Roman"/>
          <w:sz w:val="28"/>
          <w:szCs w:val="28"/>
        </w:rPr>
      </w:pPr>
      <w:r w:rsidRPr="00EC20F8">
        <w:rPr>
          <w:rFonts w:ascii="Times New Roman" w:hAnsi="Times New Roman" w:cs="Times New Roman"/>
          <w:sz w:val="28"/>
          <w:szCs w:val="28"/>
        </w:rPr>
        <w:t>- необходимость размещения отделений МКУ «КЦСОН» в приспособленных зданиях и помещениях;</w:t>
      </w:r>
    </w:p>
    <w:p w:rsidR="00FC1995" w:rsidRPr="00EC20F8" w:rsidRDefault="00FC1995" w:rsidP="00FC1995">
      <w:pPr>
        <w:spacing w:line="270" w:lineRule="atLeast"/>
        <w:ind w:right="-1" w:firstLine="709"/>
        <w:jc w:val="both"/>
        <w:outlineLvl w:val="2"/>
        <w:rPr>
          <w:rFonts w:ascii="Times New Roman" w:eastAsia="Calibri" w:hAnsi="Times New Roman" w:cs="Times New Roman"/>
          <w:sz w:val="32"/>
          <w:szCs w:val="28"/>
        </w:rPr>
      </w:pPr>
      <w:r w:rsidRPr="00EC20F8">
        <w:rPr>
          <w:rFonts w:ascii="Times New Roman" w:hAnsi="Times New Roman" w:cs="Times New Roman"/>
          <w:sz w:val="28"/>
          <w:szCs w:val="28"/>
        </w:rPr>
        <w:t>-</w:t>
      </w:r>
      <w:r w:rsidRPr="00EC20F8">
        <w:rPr>
          <w:sz w:val="28"/>
          <w:szCs w:val="28"/>
        </w:rPr>
        <w:t xml:space="preserve"> </w:t>
      </w:r>
      <w:r w:rsidRPr="00EC20F8">
        <w:rPr>
          <w:rFonts w:ascii="Times New Roman" w:hAnsi="Times New Roman" w:cs="Times New Roman"/>
          <w:sz w:val="28"/>
          <w:szCs w:val="28"/>
        </w:rPr>
        <w:t>отсутствие финансирования на строительство типового здания учреждения социального обслуживания населения, либо реконструкцию существующего и ремонт;</w:t>
      </w:r>
    </w:p>
    <w:p w:rsidR="00FC1995" w:rsidRPr="00EC20F8" w:rsidRDefault="00FC1995" w:rsidP="00FC1995">
      <w:pPr>
        <w:ind w:firstLine="709"/>
        <w:jc w:val="both"/>
        <w:rPr>
          <w:rFonts w:ascii="Times New Roman" w:hAnsi="Times New Roman" w:cs="Times New Roman"/>
          <w:sz w:val="28"/>
          <w:szCs w:val="28"/>
        </w:rPr>
      </w:pPr>
      <w:r w:rsidRPr="00EC20F8">
        <w:rPr>
          <w:rFonts w:ascii="Times New Roman" w:hAnsi="Times New Roman" w:cs="Times New Roman"/>
          <w:sz w:val="28"/>
          <w:szCs w:val="28"/>
        </w:rPr>
        <w:t>- недостаточное финансирование на обновление материально-технической базы МКУ «КЦСОН»;</w:t>
      </w:r>
    </w:p>
    <w:p w:rsidR="00FC1995" w:rsidRPr="00EC20F8" w:rsidRDefault="00FC1995" w:rsidP="00FC1995">
      <w:pPr>
        <w:ind w:firstLine="709"/>
        <w:jc w:val="both"/>
        <w:rPr>
          <w:rFonts w:ascii="Times New Roman" w:hAnsi="Times New Roman" w:cs="Times New Roman"/>
          <w:sz w:val="28"/>
          <w:szCs w:val="28"/>
        </w:rPr>
      </w:pPr>
      <w:r w:rsidRPr="00EC20F8">
        <w:rPr>
          <w:rFonts w:ascii="Times New Roman" w:hAnsi="Times New Roman" w:cs="Times New Roman"/>
          <w:sz w:val="28"/>
          <w:szCs w:val="28"/>
        </w:rPr>
        <w:t>- отсутствие целевого финансирования на развитие МКУ «КЦСОН», что не позволяет открыть филиалы отделений социально-бытовых услуг и дневного пребывания в микрорайонах города в целях максимального охвата пенсионеров и инвалидов недорогими услугами;</w:t>
      </w:r>
    </w:p>
    <w:p w:rsidR="000223DC" w:rsidRPr="00EC20F8" w:rsidRDefault="00FC1995" w:rsidP="000223DC">
      <w:pPr>
        <w:ind w:firstLine="709"/>
        <w:jc w:val="both"/>
        <w:rPr>
          <w:rFonts w:ascii="Times New Roman" w:hAnsi="Times New Roman" w:cs="Times New Roman"/>
          <w:sz w:val="28"/>
          <w:szCs w:val="28"/>
        </w:rPr>
      </w:pPr>
      <w:r w:rsidRPr="00EC20F8">
        <w:rPr>
          <w:rFonts w:ascii="Times New Roman" w:hAnsi="Times New Roman" w:cs="Times New Roman"/>
          <w:sz w:val="28"/>
          <w:szCs w:val="28"/>
        </w:rPr>
        <w:t>- несмотря на повышение заработной платы все еще достаточно низкая заработная плата по сравнению с другими учреждениями социальной сферы, высокая текучесть кадров социальных работников и специалистов по социальной работе.</w:t>
      </w:r>
      <w:bookmarkStart w:id="90" w:name="_Toc400529673"/>
    </w:p>
    <w:p w:rsidR="000223DC" w:rsidRPr="00EC20F8" w:rsidRDefault="000223DC" w:rsidP="000223DC">
      <w:pPr>
        <w:ind w:firstLine="709"/>
        <w:jc w:val="both"/>
        <w:rPr>
          <w:rFonts w:ascii="Times New Roman" w:hAnsi="Times New Roman" w:cs="Times New Roman"/>
          <w:sz w:val="28"/>
          <w:szCs w:val="28"/>
        </w:rPr>
      </w:pPr>
    </w:p>
    <w:p w:rsidR="000663EB" w:rsidRPr="00EC20F8" w:rsidRDefault="000663EB" w:rsidP="000223DC">
      <w:pPr>
        <w:ind w:firstLine="709"/>
        <w:jc w:val="center"/>
        <w:rPr>
          <w:rFonts w:ascii="Times New Roman" w:hAnsi="Times New Roman" w:cs="Times New Roman"/>
          <w:b/>
          <w:sz w:val="28"/>
          <w:szCs w:val="28"/>
        </w:rPr>
      </w:pPr>
      <w:r w:rsidRPr="00EC20F8">
        <w:rPr>
          <w:rFonts w:ascii="Times New Roman" w:hAnsi="Times New Roman" w:cs="Times New Roman"/>
          <w:b/>
          <w:sz w:val="28"/>
          <w:szCs w:val="28"/>
        </w:rPr>
        <w:t>12. Образование</w:t>
      </w:r>
      <w:bookmarkEnd w:id="85"/>
      <w:bookmarkEnd w:id="90"/>
    </w:p>
    <w:p w:rsidR="000663EB" w:rsidRPr="00EC20F8" w:rsidRDefault="000663EB" w:rsidP="000663EB"/>
    <w:p w:rsidR="000663EB" w:rsidRPr="00EC20F8" w:rsidRDefault="000663EB" w:rsidP="000663EB">
      <w:pPr>
        <w:pStyle w:val="1"/>
        <w:ind w:firstLine="709"/>
        <w:rPr>
          <w:b w:val="0"/>
        </w:rPr>
      </w:pPr>
      <w:bookmarkStart w:id="91" w:name="_Toc368988895"/>
      <w:bookmarkStart w:id="92" w:name="_Toc400529674"/>
      <w:r w:rsidRPr="00EC20F8">
        <w:rPr>
          <w:b w:val="0"/>
        </w:rPr>
        <w:t>12.1. Дошкольное образование</w:t>
      </w:r>
      <w:bookmarkEnd w:id="91"/>
      <w:bookmarkEnd w:id="92"/>
    </w:p>
    <w:p w:rsidR="000663EB" w:rsidRPr="00EC20F8" w:rsidRDefault="000663EB" w:rsidP="000663EB"/>
    <w:p w:rsidR="000663EB" w:rsidRPr="00EC20F8" w:rsidRDefault="000663EB" w:rsidP="000663EB">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В городском округе услуги дошкольного образования предоставляют 47 муниципальных дошкольных образовательных учреждений (МДОУ) и 5 общеобразовательных, в которых получают услугу по предоставлению дошкольного образования и (или) услугу по присмотру и уходу 9 139 воспитанников в возрасте от 1 года до 6 лет.</w:t>
      </w:r>
    </w:p>
    <w:p w:rsidR="000663EB" w:rsidRPr="00EC20F8" w:rsidRDefault="000663EB" w:rsidP="000663EB">
      <w:pPr>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Деятельность администрации Петропавловск-Камчатском городского округа в области развития дошкольного образования ориентирована на обеспечение сбалансированной системы образовательных услуг населению, предоставление семье возможности выбора форм и методов воспитания ребенка, обеспечение полноценной подготовки к школьному обучению.</w:t>
      </w:r>
      <w:proofErr w:type="gramEnd"/>
    </w:p>
    <w:p w:rsidR="000663EB" w:rsidRPr="00EC20F8" w:rsidRDefault="000663EB" w:rsidP="000663EB">
      <w:pPr>
        <w:autoSpaceDE w:val="0"/>
        <w:autoSpaceDN w:val="0"/>
        <w:adjustRightInd w:val="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Система муниципальных дошкольных образовательных учреждений использует традиционные и вариативные формы дошкольного образования. Услуги дошкольного образования предоставляются в </w:t>
      </w:r>
      <w:proofErr w:type="gramStart"/>
      <w:r w:rsidRPr="00EC20F8">
        <w:rPr>
          <w:rFonts w:ascii="Times New Roman" w:hAnsi="Times New Roman" w:cs="Times New Roman"/>
          <w:sz w:val="28"/>
          <w:szCs w:val="28"/>
        </w:rPr>
        <w:t>группах полного дня</w:t>
      </w:r>
      <w:proofErr w:type="gramEnd"/>
      <w:r w:rsidRPr="00EC20F8">
        <w:rPr>
          <w:rFonts w:ascii="Times New Roman" w:hAnsi="Times New Roman" w:cs="Times New Roman"/>
          <w:sz w:val="28"/>
          <w:szCs w:val="28"/>
        </w:rPr>
        <w:t xml:space="preserve"> и кратковременного пребывания. Созданы и продолжают функционировать 4 группы кратковременного пребывания детей в МАДОУ «Детский сад № 22 - Центр развития ребёнка» и МАДОУ «Детский сад № 43 - Центр развития ребёнка». Для оказания методической, диагностической и консультативной помощи семьям, воспитывающим детей дошкольного возраста, открыты </w:t>
      </w:r>
      <w:r w:rsidRPr="00EC20F8">
        <w:rPr>
          <w:rFonts w:ascii="Times New Roman" w:hAnsi="Times New Roman" w:cs="Times New Roman"/>
          <w:bCs/>
          <w:sz w:val="28"/>
          <w:szCs w:val="28"/>
        </w:rPr>
        <w:t>Центры семейного воспитания</w:t>
      </w:r>
      <w:r w:rsidRPr="00EC20F8">
        <w:rPr>
          <w:rFonts w:ascii="Times New Roman" w:hAnsi="Times New Roman" w:cs="Times New Roman"/>
          <w:sz w:val="28"/>
          <w:szCs w:val="28"/>
        </w:rPr>
        <w:t xml:space="preserve"> на базе 4-х МДОУ и 2-х учреждений дополнительного образования. </w:t>
      </w:r>
    </w:p>
    <w:p w:rsidR="000663EB" w:rsidRPr="00EC20F8" w:rsidRDefault="000663EB" w:rsidP="000663EB">
      <w:pPr>
        <w:spacing w:line="240" w:lineRule="auto"/>
        <w:ind w:firstLine="709"/>
        <w:jc w:val="both"/>
        <w:rPr>
          <w:rFonts w:ascii="Times New Roman" w:hAnsi="Times New Roman" w:cs="Times New Roman"/>
          <w:strike/>
          <w:sz w:val="28"/>
          <w:szCs w:val="28"/>
        </w:rPr>
      </w:pPr>
      <w:r w:rsidRPr="00EC20F8">
        <w:rPr>
          <w:rFonts w:ascii="Times New Roman" w:hAnsi="Times New Roman" w:cs="Times New Roman"/>
          <w:sz w:val="28"/>
          <w:szCs w:val="28"/>
        </w:rPr>
        <w:t xml:space="preserve">Сохранена и развивается сеть учреждений для детей с ограниченными возможностями здоровья. Более 650 детей дошкольного возраста охвачено услугами специальных коррекционных программ. </w:t>
      </w:r>
    </w:p>
    <w:p w:rsidR="000663EB" w:rsidRPr="00EC20F8" w:rsidRDefault="000663EB" w:rsidP="000663EB">
      <w:pPr>
        <w:spacing w:line="240" w:lineRule="auto"/>
        <w:ind w:firstLine="709"/>
        <w:jc w:val="both"/>
        <w:rPr>
          <w:rFonts w:ascii="Times New Roman" w:hAnsi="Times New Roman" w:cs="Times New Roman"/>
          <w:strike/>
          <w:sz w:val="28"/>
          <w:szCs w:val="28"/>
        </w:rPr>
      </w:pPr>
      <w:r w:rsidRPr="00EC20F8">
        <w:rPr>
          <w:rFonts w:ascii="Times New Roman" w:hAnsi="Times New Roman" w:cs="Times New Roman"/>
          <w:sz w:val="28"/>
          <w:szCs w:val="28"/>
        </w:rPr>
        <w:t xml:space="preserve">Главная задача, которая стоит в сфере дошкольного образования и которую предстоит решить в течение ближайших лет, - это обеспечение потребностей населения в дошкольных образовательных учреждениях. </w:t>
      </w:r>
    </w:p>
    <w:p w:rsidR="000663EB" w:rsidRPr="00EC20F8" w:rsidRDefault="000663EB" w:rsidP="000663EB">
      <w:pPr>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xml:space="preserve">В 2013 году администрацией </w:t>
      </w:r>
      <w:proofErr w:type="gramStart"/>
      <w:r w:rsidRPr="00EC20F8">
        <w:rPr>
          <w:rFonts w:ascii="Times New Roman" w:eastAsia="Calibri" w:hAnsi="Times New Roman" w:cs="Times New Roman"/>
          <w:sz w:val="28"/>
          <w:szCs w:val="28"/>
        </w:rPr>
        <w:t>Петропавловск-Камчатского</w:t>
      </w:r>
      <w:proofErr w:type="gramEnd"/>
      <w:r w:rsidRPr="00EC20F8">
        <w:rPr>
          <w:rFonts w:ascii="Times New Roman" w:eastAsia="Calibri" w:hAnsi="Times New Roman" w:cs="Times New Roman"/>
          <w:sz w:val="28"/>
          <w:szCs w:val="28"/>
        </w:rPr>
        <w:t xml:space="preserve"> городского округа были приняты определенные меры в этом направлении. </w:t>
      </w:r>
      <w:proofErr w:type="gramStart"/>
      <w:r w:rsidRPr="00EC20F8">
        <w:rPr>
          <w:rFonts w:ascii="Times New Roman" w:eastAsia="Calibri" w:hAnsi="Times New Roman" w:cs="Times New Roman"/>
          <w:sz w:val="28"/>
          <w:szCs w:val="28"/>
        </w:rPr>
        <w:t>Реализовывались мероприятия муниципальной долгосрочной целевой программы «Развитие дошкольного образования Петропавловск-Камчатского городского округа на 2012-2015 годы», основные мероприятия которой направлены на эффективное развитие инфраструктуры дошкольного образования, снижение очередности и улучшение материально-технической базы дошкольных учреждений.</w:t>
      </w:r>
      <w:proofErr w:type="gramEnd"/>
      <w:r w:rsidRPr="00EC20F8">
        <w:rPr>
          <w:rFonts w:ascii="Times New Roman" w:eastAsia="Calibri" w:hAnsi="Times New Roman" w:cs="Times New Roman"/>
          <w:sz w:val="28"/>
          <w:szCs w:val="28"/>
        </w:rPr>
        <w:t xml:space="preserve"> Совместно с Правительством Камчатского края решались вопросы по строительству новых детских садов.</w:t>
      </w:r>
    </w:p>
    <w:p w:rsidR="000663EB" w:rsidRPr="00EC20F8" w:rsidRDefault="000663EB" w:rsidP="000663EB">
      <w:pPr>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7"/>
        </w:rPr>
        <w:t xml:space="preserve">В 2013 году дополнительно создано 400 мест в муниципальных образовательных учреждениях, реализующих программы дошкольного образования, преимущественно для обеспечения местами целевой группы детей дошкольного возраста от 3 до 7 лет. </w:t>
      </w:r>
      <w:proofErr w:type="gramStart"/>
      <w:r w:rsidRPr="00EC20F8">
        <w:rPr>
          <w:rFonts w:ascii="Times New Roman" w:eastAsia="Calibri" w:hAnsi="Times New Roman" w:cs="Times New Roman"/>
          <w:sz w:val="28"/>
          <w:szCs w:val="28"/>
        </w:rPr>
        <w:t xml:space="preserve">Охват детей в возрасте от 3 до 7 лет услугами дошкольного образования увеличился до 91 %. </w:t>
      </w:r>
      <w:r w:rsidRPr="00EC20F8">
        <w:rPr>
          <w:rFonts w:ascii="Times New Roman" w:eastAsia="Calibri" w:hAnsi="Times New Roman" w:cs="Times New Roman"/>
          <w:sz w:val="28"/>
          <w:szCs w:val="27"/>
        </w:rPr>
        <w:t>Очередность детей в возрасте с 3 до 7 лет в 2013 году сократилась на 70 % (с 414 до 127 человек).</w:t>
      </w:r>
      <w:proofErr w:type="gramEnd"/>
      <w:r w:rsidRPr="00EC20F8">
        <w:rPr>
          <w:rFonts w:ascii="Times New Roman" w:eastAsia="Calibri" w:hAnsi="Times New Roman" w:cs="Times New Roman"/>
          <w:sz w:val="28"/>
          <w:szCs w:val="27"/>
        </w:rPr>
        <w:t xml:space="preserve"> Всего </w:t>
      </w:r>
      <w:r w:rsidRPr="00EC20F8">
        <w:rPr>
          <w:rFonts w:ascii="Times New Roman" w:eastAsia="Calibri" w:hAnsi="Times New Roman" w:cs="Times New Roman"/>
          <w:sz w:val="28"/>
          <w:szCs w:val="28"/>
        </w:rPr>
        <w:t>по состоянию на 31.12.2013 очередь в детские сады составляла 4 908 детей.</w:t>
      </w:r>
    </w:p>
    <w:p w:rsidR="000663EB" w:rsidRPr="00EC20F8" w:rsidRDefault="000663EB" w:rsidP="000663EB">
      <w:pPr>
        <w:autoSpaceDE w:val="0"/>
        <w:autoSpaceDN w:val="0"/>
        <w:adjustRightInd w:val="0"/>
        <w:ind w:firstLine="709"/>
        <w:jc w:val="both"/>
        <w:rPr>
          <w:rFonts w:ascii="Times New Roman" w:hAnsi="Times New Roman" w:cs="Times New Roman"/>
          <w:sz w:val="28"/>
          <w:szCs w:val="28"/>
        </w:rPr>
      </w:pPr>
      <w:r w:rsidRPr="00EC20F8">
        <w:rPr>
          <w:rFonts w:ascii="Times New Roman" w:eastAsia="Calibri" w:hAnsi="Times New Roman" w:cs="Times New Roman"/>
          <w:sz w:val="28"/>
          <w:szCs w:val="28"/>
        </w:rPr>
        <w:t>Доля детей в возрасте 1-</w:t>
      </w:r>
      <w:r w:rsidR="000223DC" w:rsidRPr="00EC20F8">
        <w:rPr>
          <w:rFonts w:ascii="Times New Roman" w:eastAsia="Calibri" w:hAnsi="Times New Roman" w:cs="Times New Roman"/>
          <w:sz w:val="28"/>
          <w:szCs w:val="28"/>
        </w:rPr>
        <w:t xml:space="preserve"> </w:t>
      </w:r>
      <w:r w:rsidRPr="00EC20F8">
        <w:rPr>
          <w:rFonts w:ascii="Times New Roman" w:eastAsia="Calibri" w:hAnsi="Times New Roman" w:cs="Times New Roman"/>
          <w:sz w:val="28"/>
          <w:szCs w:val="28"/>
        </w:rPr>
        <w:t>6 лет, состоящих на учете для определения в муниципальные дошкольные образовательные учреждения, в общей численности детей в возрасте 1-6 лет снизилась в течение 2013 года и составила 25,</w:t>
      </w:r>
      <w:r w:rsidRPr="00EC20F8">
        <w:rPr>
          <w:rFonts w:ascii="Times New Roman" w:hAnsi="Times New Roman" w:cs="Times New Roman"/>
          <w:sz w:val="28"/>
          <w:szCs w:val="28"/>
        </w:rPr>
        <w:t>5</w:t>
      </w:r>
      <w:r w:rsidRPr="00EC20F8">
        <w:rPr>
          <w:rFonts w:ascii="Times New Roman" w:eastAsia="Calibri" w:hAnsi="Times New Roman" w:cs="Times New Roman"/>
          <w:sz w:val="28"/>
          <w:szCs w:val="28"/>
        </w:rPr>
        <w:t xml:space="preserve"> %. </w:t>
      </w:r>
    </w:p>
    <w:p w:rsidR="000663EB" w:rsidRPr="00EC20F8" w:rsidRDefault="000663EB" w:rsidP="000663EB">
      <w:pPr>
        <w:autoSpaceDE w:val="0"/>
        <w:autoSpaceDN w:val="0"/>
        <w:adjustRightInd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Количество детей, посещающих дошкольные образовательные учреждения, в 2014 году составит 9 350 человек, что подтверждает тенденцию увеличения, по сравнению с предыдущими годами, количества посещающих МДОУ. К 2017 году ожидается увеличение этого показателя по первому варианту до 9 900 человек, по второму – до 10 300 человек. </w:t>
      </w:r>
    </w:p>
    <w:p w:rsidR="000663EB" w:rsidRPr="00EC20F8" w:rsidRDefault="000663EB" w:rsidP="000663EB">
      <w:pPr>
        <w:autoSpaceDE w:val="0"/>
        <w:autoSpaceDN w:val="0"/>
        <w:adjustRightInd w:val="0"/>
        <w:ind w:firstLine="709"/>
        <w:jc w:val="both"/>
        <w:rPr>
          <w:sz w:val="28"/>
          <w:szCs w:val="28"/>
        </w:rPr>
      </w:pPr>
      <w:r w:rsidRPr="00EC20F8">
        <w:rPr>
          <w:rFonts w:ascii="Times New Roman" w:hAnsi="Times New Roman" w:cs="Times New Roman"/>
          <w:sz w:val="28"/>
          <w:szCs w:val="28"/>
        </w:rPr>
        <w:t xml:space="preserve">Благодаря принимаемым мерам в городском округе планируется увеличение охвата детей в возрасте от 1 до 6 лет услугами дошкольного образования. </w:t>
      </w:r>
      <w:proofErr w:type="gramStart"/>
      <w:r w:rsidRPr="00EC20F8">
        <w:rPr>
          <w:rFonts w:ascii="Times New Roman" w:hAnsi="Times New Roman" w:cs="Times New Roman"/>
          <w:sz w:val="28"/>
          <w:szCs w:val="28"/>
        </w:rPr>
        <w:t>Доля таких детей от общей численности детей от 1 до 6 лет будет составлять с 70,50 % в 2013 году до 81,00 % в 2017 году.</w:t>
      </w:r>
      <w:proofErr w:type="gramEnd"/>
      <w:r w:rsidRPr="00EC20F8">
        <w:rPr>
          <w:sz w:val="28"/>
          <w:szCs w:val="28"/>
        </w:rPr>
        <w:t xml:space="preserve"> </w:t>
      </w:r>
      <w:r w:rsidRPr="00EC20F8">
        <w:rPr>
          <w:rFonts w:ascii="Times New Roman" w:hAnsi="Times New Roman" w:cs="Times New Roman"/>
          <w:sz w:val="28"/>
          <w:szCs w:val="28"/>
        </w:rPr>
        <w:t xml:space="preserve">Обеспеченность дошкольными образовательными учреждениями в текущем году составит 795 мест на 1000 детей в возрасте    1-6 лет. </w:t>
      </w:r>
    </w:p>
    <w:p w:rsidR="000663EB" w:rsidRPr="00EC20F8" w:rsidRDefault="000663EB" w:rsidP="000663EB">
      <w:pPr>
        <w:autoSpaceDE w:val="0"/>
        <w:autoSpaceDN w:val="0"/>
        <w:adjustRightInd w:val="0"/>
        <w:ind w:firstLine="709"/>
        <w:jc w:val="both"/>
        <w:rPr>
          <w:rFonts w:ascii="Times New Roman" w:eastAsia="Calibri" w:hAnsi="Times New Roman" w:cs="Times New Roman"/>
          <w:sz w:val="28"/>
          <w:szCs w:val="28"/>
        </w:rPr>
      </w:pPr>
      <w:r w:rsidRPr="00EC20F8">
        <w:rPr>
          <w:rFonts w:ascii="Times New Roman" w:hAnsi="Times New Roman" w:cs="Times New Roman"/>
          <w:sz w:val="28"/>
          <w:szCs w:val="28"/>
        </w:rPr>
        <w:t xml:space="preserve">В среднесрочной перспективе прогнозируется дальнейшая реализация мер по увеличению числа мест в МДОУ и сокращения очереди в возрастной категории детей старше 3-х лет. </w:t>
      </w:r>
    </w:p>
    <w:p w:rsidR="000663EB" w:rsidRPr="00EC20F8" w:rsidRDefault="000663EB" w:rsidP="000663EB">
      <w:pPr>
        <w:ind w:firstLine="709"/>
        <w:jc w:val="both"/>
        <w:rPr>
          <w:rFonts w:ascii="Times New Roman" w:eastAsia="Calibri" w:hAnsi="Times New Roman" w:cs="Times New Roman"/>
          <w:sz w:val="28"/>
          <w:szCs w:val="28"/>
        </w:rPr>
      </w:pPr>
      <w:r w:rsidRPr="00EC20F8">
        <w:rPr>
          <w:rFonts w:ascii="Times New Roman" w:hAnsi="Times New Roman" w:cs="Times New Roman"/>
          <w:sz w:val="28"/>
          <w:szCs w:val="28"/>
        </w:rPr>
        <w:t>В</w:t>
      </w:r>
      <w:r w:rsidRPr="00EC20F8">
        <w:rPr>
          <w:rFonts w:ascii="Times New Roman" w:eastAsia="Calibri" w:hAnsi="Times New Roman" w:cs="Times New Roman"/>
          <w:sz w:val="28"/>
          <w:szCs w:val="28"/>
        </w:rPr>
        <w:t xml:space="preserve"> рамках государственной программы «Развитие образования в Камчатском крае на 2014-2016 годы» на территории городского округа планируется строительство четырех зданий МДОУ, будет введено 920 мест (детский сад в микрорайоне </w:t>
      </w:r>
      <w:proofErr w:type="gramStart"/>
      <w:r w:rsidRPr="00EC20F8">
        <w:rPr>
          <w:rFonts w:ascii="Times New Roman" w:eastAsia="Calibri" w:hAnsi="Times New Roman" w:cs="Times New Roman"/>
          <w:sz w:val="28"/>
          <w:szCs w:val="28"/>
        </w:rPr>
        <w:t>А</w:t>
      </w:r>
      <w:proofErr w:type="gramEnd"/>
      <w:r w:rsidRPr="00EC20F8">
        <w:rPr>
          <w:rFonts w:ascii="Times New Roman" w:eastAsia="Calibri" w:hAnsi="Times New Roman" w:cs="Times New Roman"/>
          <w:sz w:val="28"/>
          <w:szCs w:val="28"/>
        </w:rPr>
        <w:t>-</w:t>
      </w:r>
      <w:r w:rsidRPr="00EC20F8">
        <w:rPr>
          <w:rFonts w:ascii="Times New Roman" w:eastAsia="Calibri" w:hAnsi="Times New Roman" w:cs="Times New Roman"/>
          <w:sz w:val="28"/>
          <w:szCs w:val="28"/>
          <w:lang w:val="en-US"/>
        </w:rPr>
        <w:t>II</w:t>
      </w:r>
      <w:r w:rsidRPr="00EC20F8">
        <w:rPr>
          <w:rFonts w:ascii="Times New Roman" w:eastAsia="Calibri" w:hAnsi="Times New Roman" w:cs="Times New Roman"/>
          <w:sz w:val="28"/>
          <w:szCs w:val="28"/>
        </w:rPr>
        <w:t xml:space="preserve"> Северо-восточной части городского округа на 220 мест, по улице Савченко на 260 мест, по улице Арсеньева на 180 мест и по улице Дальневосточной на 260 мест).</w:t>
      </w:r>
    </w:p>
    <w:p w:rsidR="000663EB" w:rsidRPr="00EC20F8" w:rsidRDefault="000663EB" w:rsidP="000663EB">
      <w:pPr>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К 2016 году планируется ликвидировать очередь в детские сады для детей в возрасте от 3-7 лет (охват в данной группе возрастет к 2015 году до 98 %, 2016 году – 100%). </w:t>
      </w:r>
      <w:proofErr w:type="gramEnd"/>
    </w:p>
    <w:p w:rsidR="000663EB" w:rsidRPr="00EC20F8" w:rsidRDefault="000663EB" w:rsidP="000663EB">
      <w:pPr>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К 2017 году прогнозируется снижение доли детей в возрасте 1-6 лет, состоящих в очереди на определение в МДОУ в общей численности детей в возрасте 1-6 лет до 18 % (в 2013 – 25,5 %).</w:t>
      </w:r>
      <w:proofErr w:type="gramEnd"/>
    </w:p>
    <w:p w:rsidR="000D1024" w:rsidRPr="00EC20F8" w:rsidRDefault="000663EB" w:rsidP="000D1024">
      <w:pPr>
        <w:widowControl w:val="0"/>
        <w:autoSpaceDE w:val="0"/>
        <w:autoSpaceDN w:val="0"/>
        <w:adjustRightInd w:val="0"/>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В рамках муниципальной программы «Развитие образования и социальная поддержка граждан в </w:t>
      </w:r>
      <w:proofErr w:type="spellStart"/>
      <w:r w:rsidRPr="00EC20F8">
        <w:rPr>
          <w:rFonts w:ascii="Times New Roman" w:hAnsi="Times New Roman" w:cs="Times New Roman"/>
          <w:sz w:val="28"/>
          <w:szCs w:val="28"/>
        </w:rPr>
        <w:t>Петропавловск-Камчатском</w:t>
      </w:r>
      <w:proofErr w:type="spellEnd"/>
      <w:r w:rsidRPr="00EC20F8">
        <w:rPr>
          <w:rFonts w:ascii="Times New Roman" w:hAnsi="Times New Roman" w:cs="Times New Roman"/>
          <w:sz w:val="28"/>
          <w:szCs w:val="28"/>
        </w:rPr>
        <w:t xml:space="preserve"> городском округе»</w:t>
      </w:r>
      <w:r w:rsidR="000D1024" w:rsidRPr="00EC20F8">
        <w:rPr>
          <w:rFonts w:ascii="Times New Roman" w:hAnsi="Times New Roman" w:cs="Times New Roman"/>
          <w:sz w:val="28"/>
          <w:szCs w:val="28"/>
        </w:rPr>
        <w:t xml:space="preserve"> (подпрограмма</w:t>
      </w:r>
      <w:r w:rsidR="000D1024" w:rsidRPr="00EC20F8">
        <w:rPr>
          <w:rFonts w:ascii="Times New Roman" w:hAnsi="Times New Roman" w:cs="Times New Roman"/>
          <w:b/>
          <w:sz w:val="28"/>
          <w:szCs w:val="28"/>
        </w:rPr>
        <w:t xml:space="preserve"> </w:t>
      </w:r>
      <w:r w:rsidR="000D1024" w:rsidRPr="00EC20F8">
        <w:rPr>
          <w:rFonts w:ascii="Times New Roman" w:hAnsi="Times New Roman" w:cs="Times New Roman"/>
          <w:sz w:val="28"/>
          <w:szCs w:val="28"/>
        </w:rPr>
        <w:t xml:space="preserve">2 «Развитие дошкольного образования») </w:t>
      </w:r>
      <w:r w:rsidRPr="00EC20F8">
        <w:rPr>
          <w:rFonts w:ascii="Times New Roman" w:hAnsi="Times New Roman" w:cs="Times New Roman"/>
          <w:sz w:val="28"/>
          <w:szCs w:val="28"/>
        </w:rPr>
        <w:t xml:space="preserve"> предусмотрены мероприятия по приведению дошкольных образовательных учреждений в соответствие с санитарно-эпидемиологическими правилами и нормами</w:t>
      </w:r>
      <w:r w:rsidR="0073001D" w:rsidRPr="00EC20F8">
        <w:rPr>
          <w:rFonts w:ascii="Times New Roman" w:hAnsi="Times New Roman" w:cs="Times New Roman"/>
          <w:sz w:val="28"/>
          <w:szCs w:val="28"/>
        </w:rPr>
        <w:t xml:space="preserve"> - </w:t>
      </w:r>
      <w:r w:rsidRPr="00EC20F8">
        <w:rPr>
          <w:rFonts w:ascii="Times New Roman" w:hAnsi="Times New Roman" w:cs="Times New Roman"/>
          <w:sz w:val="28"/>
          <w:szCs w:val="28"/>
        </w:rPr>
        <w:t xml:space="preserve"> выполнение ремонтных работ и проведение капитальных ремонтов отдельных учреждений.</w:t>
      </w:r>
      <w:proofErr w:type="gramEnd"/>
      <w:r w:rsidRPr="00EC20F8">
        <w:rPr>
          <w:rFonts w:ascii="Times New Roman" w:hAnsi="Times New Roman" w:cs="Times New Roman"/>
          <w:sz w:val="28"/>
          <w:szCs w:val="28"/>
        </w:rPr>
        <w:t xml:space="preserve"> Продолжится обновление материально-технической базы дошкольных учреждений</w:t>
      </w:r>
      <w:r w:rsidR="0073001D" w:rsidRPr="00EC20F8">
        <w:rPr>
          <w:rFonts w:ascii="Times New Roman" w:hAnsi="Times New Roman" w:cs="Times New Roman"/>
          <w:sz w:val="28"/>
          <w:szCs w:val="28"/>
        </w:rPr>
        <w:t xml:space="preserve"> </w:t>
      </w:r>
      <w:r w:rsidRPr="00EC20F8">
        <w:rPr>
          <w:rFonts w:ascii="Times New Roman" w:hAnsi="Times New Roman" w:cs="Times New Roman"/>
          <w:sz w:val="28"/>
          <w:szCs w:val="28"/>
        </w:rPr>
        <w:t xml:space="preserve">- приобретение мебели, технологического оборудования для пищеблоков и </w:t>
      </w:r>
      <w:proofErr w:type="spellStart"/>
      <w:r w:rsidRPr="00EC20F8">
        <w:rPr>
          <w:rFonts w:ascii="Times New Roman" w:hAnsi="Times New Roman" w:cs="Times New Roman"/>
          <w:sz w:val="28"/>
          <w:szCs w:val="28"/>
        </w:rPr>
        <w:t>постирочных</w:t>
      </w:r>
      <w:proofErr w:type="spellEnd"/>
      <w:r w:rsidRPr="00EC20F8">
        <w:rPr>
          <w:rFonts w:ascii="Times New Roman" w:hAnsi="Times New Roman" w:cs="Times New Roman"/>
          <w:sz w:val="28"/>
          <w:szCs w:val="28"/>
        </w:rPr>
        <w:t>.</w:t>
      </w:r>
    </w:p>
    <w:p w:rsidR="000663EB" w:rsidRPr="00EC20F8" w:rsidRDefault="000663EB" w:rsidP="000D1024">
      <w:pPr>
        <w:widowControl w:val="0"/>
        <w:autoSpaceDE w:val="0"/>
        <w:autoSpaceDN w:val="0"/>
        <w:adjustRightInd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В течение 2015-2017 годов планируется установить теневые навесы, спортивные площадки, приобрести технологическое оборудование и мебель.</w:t>
      </w:r>
    </w:p>
    <w:p w:rsidR="000663EB" w:rsidRPr="00EC20F8" w:rsidRDefault="000663EB" w:rsidP="000663EB">
      <w:pPr>
        <w:ind w:firstLine="709"/>
        <w:jc w:val="both"/>
        <w:rPr>
          <w:rFonts w:ascii="Times New Roman" w:hAnsi="Times New Roman" w:cs="Times New Roman"/>
          <w:sz w:val="28"/>
          <w:szCs w:val="28"/>
        </w:rPr>
      </w:pPr>
      <w:r w:rsidRPr="00EC20F8">
        <w:rPr>
          <w:rFonts w:ascii="Times New Roman" w:hAnsi="Times New Roman" w:cs="Times New Roman"/>
          <w:sz w:val="28"/>
          <w:szCs w:val="28"/>
        </w:rPr>
        <w:t>Одновременно с муниципальной системой дошкольного образования</w:t>
      </w:r>
      <w:r w:rsidR="0073001D" w:rsidRPr="00EC20F8">
        <w:rPr>
          <w:rFonts w:ascii="Times New Roman" w:hAnsi="Times New Roman" w:cs="Times New Roman"/>
          <w:sz w:val="28"/>
          <w:szCs w:val="28"/>
        </w:rPr>
        <w:t>,</w:t>
      </w:r>
      <w:r w:rsidRPr="00EC20F8">
        <w:rPr>
          <w:rFonts w:ascii="Times New Roman" w:hAnsi="Times New Roman" w:cs="Times New Roman"/>
          <w:sz w:val="28"/>
          <w:szCs w:val="28"/>
        </w:rPr>
        <w:t xml:space="preserve"> с учетом потребности населения в услугах присмотра и ухода за детьми раннего возраста</w:t>
      </w:r>
      <w:r w:rsidR="0073001D" w:rsidRPr="00EC20F8">
        <w:rPr>
          <w:rFonts w:ascii="Times New Roman" w:hAnsi="Times New Roman" w:cs="Times New Roman"/>
          <w:sz w:val="28"/>
          <w:szCs w:val="28"/>
        </w:rPr>
        <w:t>,</w:t>
      </w:r>
      <w:r w:rsidRPr="00EC20F8">
        <w:rPr>
          <w:rFonts w:ascii="Times New Roman" w:hAnsi="Times New Roman" w:cs="Times New Roman"/>
          <w:sz w:val="28"/>
          <w:szCs w:val="28"/>
        </w:rPr>
        <w:t xml:space="preserve"> будет развиваться негосударственный сектор (негосударственные образовательные организации, индивидуальное предпринимательство), преимущественно за счет индивидуального предпринимательства, оказывающего услуги дошкольного образования и (или) присмотра и ухода. В плановом периоде численность </w:t>
      </w:r>
      <w:proofErr w:type="gramStart"/>
      <w:r w:rsidRPr="00EC20F8">
        <w:rPr>
          <w:rFonts w:ascii="Times New Roman" w:hAnsi="Times New Roman" w:cs="Times New Roman"/>
          <w:sz w:val="28"/>
          <w:szCs w:val="28"/>
        </w:rPr>
        <w:t>детей, охваченных услугами негосударственного сектора увеличится</w:t>
      </w:r>
      <w:proofErr w:type="gramEnd"/>
      <w:r w:rsidRPr="00EC20F8">
        <w:rPr>
          <w:rFonts w:ascii="Times New Roman" w:hAnsi="Times New Roman" w:cs="Times New Roman"/>
          <w:sz w:val="28"/>
          <w:szCs w:val="28"/>
        </w:rPr>
        <w:t xml:space="preserve"> до 2 % (в 2013 году – 1,5 %) благодаря целевым мерам поддержки в виде субсидии на реализацию образовательных программ дошкольного образования и др.</w:t>
      </w:r>
    </w:p>
    <w:p w:rsidR="000663EB" w:rsidRPr="00EC20F8" w:rsidRDefault="000663EB" w:rsidP="000663EB">
      <w:pPr>
        <w:pStyle w:val="16"/>
        <w:ind w:firstLine="709"/>
        <w:jc w:val="both"/>
        <w:rPr>
          <w:rFonts w:ascii="Times New Roman" w:hAnsi="Times New Roman"/>
          <w:sz w:val="24"/>
          <w:szCs w:val="24"/>
        </w:rPr>
      </w:pPr>
      <w:r w:rsidRPr="00EC20F8">
        <w:rPr>
          <w:rFonts w:ascii="Times New Roman" w:hAnsi="Times New Roman"/>
          <w:sz w:val="28"/>
          <w:szCs w:val="28"/>
        </w:rPr>
        <w:t xml:space="preserve">Несмотря на позитивные изменения, происходящие в сфере дошкольного образования, остаётся ряд проблем: сохраняется дефицит мест в дошкольных образовательных учреждениях; высокая степень изношенности зданий и материально-технической базы. Продолжает оставаться острой проблема кадрового обеспечения дошкольного образования. Фактическая численность воспитателей в детских садах составляет не более 80 </w:t>
      </w:r>
      <w:r w:rsidR="001C7891" w:rsidRPr="00EC20F8">
        <w:rPr>
          <w:rFonts w:ascii="Times New Roman" w:hAnsi="Times New Roman"/>
          <w:sz w:val="28"/>
          <w:szCs w:val="28"/>
        </w:rPr>
        <w:t>%</w:t>
      </w:r>
      <w:r w:rsidRPr="00EC20F8">
        <w:rPr>
          <w:rFonts w:ascii="Times New Roman" w:hAnsi="Times New Roman"/>
          <w:sz w:val="28"/>
          <w:szCs w:val="28"/>
        </w:rPr>
        <w:t xml:space="preserve"> от потребности.</w:t>
      </w:r>
    </w:p>
    <w:p w:rsidR="000663EB" w:rsidRPr="00EC20F8" w:rsidRDefault="000663EB" w:rsidP="000663EB">
      <w:pPr>
        <w:pStyle w:val="1"/>
        <w:ind w:firstLine="709"/>
        <w:rPr>
          <w:b w:val="0"/>
        </w:rPr>
      </w:pPr>
      <w:bookmarkStart w:id="93" w:name="_Toc368988896"/>
      <w:bookmarkStart w:id="94" w:name="_Toc400529675"/>
      <w:r w:rsidRPr="00EC20F8">
        <w:rPr>
          <w:b w:val="0"/>
        </w:rPr>
        <w:t>12.2. Общее и дополнительное образование</w:t>
      </w:r>
      <w:bookmarkEnd w:id="93"/>
      <w:bookmarkEnd w:id="94"/>
    </w:p>
    <w:p w:rsidR="000663EB" w:rsidRPr="00EC20F8" w:rsidRDefault="000663EB" w:rsidP="000663EB">
      <w:pPr>
        <w:ind w:firstLine="709"/>
      </w:pPr>
    </w:p>
    <w:p w:rsidR="000663EB" w:rsidRPr="00EC20F8" w:rsidRDefault="000663EB" w:rsidP="000663EB">
      <w:pPr>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На начало учебного 2013/2014 года муниципальная система общего и дополнительного образования городского округа представлена 36 муниципальными общеобразовательными учреждениями общего образования (с учетом 1 начальной </w:t>
      </w:r>
      <w:proofErr w:type="spellStart"/>
      <w:r w:rsidRPr="00EC20F8">
        <w:rPr>
          <w:rFonts w:ascii="Times New Roman" w:hAnsi="Times New Roman" w:cs="Times New Roman"/>
          <w:sz w:val="28"/>
          <w:szCs w:val="28"/>
        </w:rPr>
        <w:t>школы-детского</w:t>
      </w:r>
      <w:proofErr w:type="spellEnd"/>
      <w:r w:rsidRPr="00EC20F8">
        <w:rPr>
          <w:rFonts w:ascii="Times New Roman" w:hAnsi="Times New Roman" w:cs="Times New Roman"/>
          <w:sz w:val="28"/>
          <w:szCs w:val="28"/>
        </w:rPr>
        <w:t xml:space="preserve"> сада), 2 вечерними сменными школами, 2 специальными (коррекционными) школами для детей с ограниченными возможностями здоровья, 4 образовательными учреждениями для детей сирот и детей, оставшихся без попечения родителей, 9 учреждениями дополнительного образования.</w:t>
      </w:r>
      <w:proofErr w:type="gramEnd"/>
    </w:p>
    <w:p w:rsidR="000663EB" w:rsidRPr="00EC20F8" w:rsidRDefault="000663EB" w:rsidP="000663EB">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Общее число обучающихся в дневных общеобразовательных учреждениях составило 17 661 человек, что на 198 человек меньше, чем в 2012/2013 учебном году. </w:t>
      </w:r>
    </w:p>
    <w:p w:rsidR="000663EB" w:rsidRPr="00EC20F8" w:rsidRDefault="000663EB" w:rsidP="000663EB">
      <w:pPr>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Создание условий для обеспечения доступности качественного общего образования в городском округе осуществлялось в соответствии с Комплексом мер по модернизации общего образования в городском округе на 2013 год и муниципальной программой «Развитие образования и социальная поддержка граждан в Петропавловск-Камчатском городском округе» по определенным в них приоритетным направлениям.</w:t>
      </w:r>
      <w:proofErr w:type="gramEnd"/>
      <w:r w:rsidRPr="00EC20F8">
        <w:rPr>
          <w:rFonts w:ascii="Times New Roman" w:hAnsi="Times New Roman" w:cs="Times New Roman"/>
          <w:sz w:val="28"/>
          <w:szCs w:val="28"/>
        </w:rPr>
        <w:t xml:space="preserve"> </w:t>
      </w:r>
      <w:proofErr w:type="gramStart"/>
      <w:r w:rsidRPr="00EC20F8">
        <w:rPr>
          <w:rFonts w:ascii="Times New Roman" w:hAnsi="Times New Roman" w:cs="Times New Roman"/>
          <w:sz w:val="28"/>
          <w:szCs w:val="28"/>
        </w:rPr>
        <w:t xml:space="preserve">В рамках основных направлений проведены следующие мероприятия: </w:t>
      </w:r>
      <w:r w:rsidR="001C7891" w:rsidRPr="00EC20F8">
        <w:rPr>
          <w:rFonts w:ascii="Times New Roman" w:hAnsi="Times New Roman" w:cs="Times New Roman"/>
          <w:sz w:val="28"/>
          <w:szCs w:val="28"/>
        </w:rPr>
        <w:t>в</w:t>
      </w:r>
      <w:r w:rsidRPr="00EC20F8">
        <w:rPr>
          <w:rFonts w:ascii="Times New Roman" w:hAnsi="Times New Roman" w:cs="Times New Roman"/>
          <w:sz w:val="28"/>
          <w:szCs w:val="28"/>
        </w:rPr>
        <w:t xml:space="preserve"> целях обеспечения безопасности и комфортности условий обучения в образовательных учреждениях городского округа осуществлялась работа по улучшению материально-технической базы.</w:t>
      </w:r>
      <w:proofErr w:type="gramEnd"/>
      <w:r w:rsidRPr="00EC20F8">
        <w:rPr>
          <w:rFonts w:ascii="Times New Roman" w:hAnsi="Times New Roman" w:cs="Times New Roman"/>
          <w:sz w:val="28"/>
          <w:szCs w:val="28"/>
        </w:rPr>
        <w:t xml:space="preserve"> Проведены ремонтные работы в 19 общеобразовательных учреждениях для приведения их в соответствие с санитарными требованиями:</w:t>
      </w:r>
    </w:p>
    <w:p w:rsidR="000663EB" w:rsidRPr="00EC20F8" w:rsidRDefault="000663EB" w:rsidP="000663EB">
      <w:pPr>
        <w:pStyle w:val="a3"/>
        <w:tabs>
          <w:tab w:val="left" w:pos="1134"/>
        </w:tabs>
        <w:spacing w:line="240" w:lineRule="auto"/>
        <w:ind w:left="0" w:firstLine="709"/>
        <w:contextualSpacing w:val="0"/>
        <w:jc w:val="both"/>
        <w:rPr>
          <w:rFonts w:ascii="Times New Roman" w:hAnsi="Times New Roman" w:cs="Times New Roman"/>
          <w:sz w:val="28"/>
          <w:szCs w:val="28"/>
        </w:rPr>
      </w:pPr>
      <w:r w:rsidRPr="00EC20F8">
        <w:rPr>
          <w:rFonts w:ascii="Times New Roman" w:hAnsi="Times New Roman" w:cs="Times New Roman"/>
          <w:sz w:val="28"/>
          <w:szCs w:val="28"/>
        </w:rPr>
        <w:t>- ремонт кровли в 5 образовательных учреждениях;</w:t>
      </w:r>
    </w:p>
    <w:p w:rsidR="000663EB" w:rsidRPr="00EC20F8" w:rsidRDefault="000663EB" w:rsidP="000663EB">
      <w:pPr>
        <w:pStyle w:val="a3"/>
        <w:tabs>
          <w:tab w:val="left" w:pos="1134"/>
        </w:tabs>
        <w:spacing w:line="240" w:lineRule="auto"/>
        <w:ind w:left="0" w:firstLine="709"/>
        <w:contextualSpacing w:val="0"/>
        <w:jc w:val="both"/>
        <w:rPr>
          <w:rFonts w:ascii="Times New Roman" w:hAnsi="Times New Roman" w:cs="Times New Roman"/>
          <w:sz w:val="28"/>
          <w:szCs w:val="28"/>
        </w:rPr>
      </w:pPr>
      <w:r w:rsidRPr="00EC20F8">
        <w:rPr>
          <w:rFonts w:ascii="Times New Roman" w:hAnsi="Times New Roman" w:cs="Times New Roman"/>
          <w:sz w:val="28"/>
          <w:szCs w:val="28"/>
        </w:rPr>
        <w:t>- замена окон ПВХ в 9 образовательных;</w:t>
      </w:r>
    </w:p>
    <w:p w:rsidR="000663EB" w:rsidRPr="00EC20F8" w:rsidRDefault="000663EB" w:rsidP="000663EB">
      <w:pPr>
        <w:pStyle w:val="a3"/>
        <w:tabs>
          <w:tab w:val="left" w:pos="1134"/>
        </w:tabs>
        <w:spacing w:line="240" w:lineRule="auto"/>
        <w:ind w:left="0" w:firstLine="709"/>
        <w:contextualSpacing w:val="0"/>
        <w:jc w:val="both"/>
        <w:rPr>
          <w:rFonts w:ascii="Times New Roman" w:hAnsi="Times New Roman" w:cs="Times New Roman"/>
          <w:sz w:val="28"/>
          <w:szCs w:val="28"/>
        </w:rPr>
      </w:pPr>
      <w:r w:rsidRPr="00EC20F8">
        <w:rPr>
          <w:rFonts w:ascii="Times New Roman" w:hAnsi="Times New Roman" w:cs="Times New Roman"/>
          <w:sz w:val="28"/>
          <w:szCs w:val="28"/>
        </w:rPr>
        <w:t>- сантехнические работы в 13 образовательных учреждениях;</w:t>
      </w:r>
    </w:p>
    <w:p w:rsidR="000663EB" w:rsidRPr="00EC20F8" w:rsidRDefault="000663EB" w:rsidP="000663EB">
      <w:pPr>
        <w:pStyle w:val="a3"/>
        <w:tabs>
          <w:tab w:val="left" w:pos="1134"/>
        </w:tabs>
        <w:spacing w:line="240" w:lineRule="auto"/>
        <w:ind w:left="0" w:firstLine="709"/>
        <w:contextualSpacing w:val="0"/>
        <w:jc w:val="both"/>
        <w:rPr>
          <w:rFonts w:ascii="Times New Roman" w:hAnsi="Times New Roman" w:cs="Times New Roman"/>
          <w:sz w:val="28"/>
          <w:szCs w:val="28"/>
        </w:rPr>
      </w:pPr>
      <w:r w:rsidRPr="00EC20F8">
        <w:rPr>
          <w:rFonts w:ascii="Times New Roman" w:hAnsi="Times New Roman" w:cs="Times New Roman"/>
          <w:sz w:val="28"/>
          <w:szCs w:val="28"/>
        </w:rPr>
        <w:t>- ремонт полов в 2 образовательных;</w:t>
      </w:r>
    </w:p>
    <w:p w:rsidR="000663EB" w:rsidRPr="00EC20F8" w:rsidRDefault="000663EB" w:rsidP="000663EB">
      <w:pPr>
        <w:pStyle w:val="a3"/>
        <w:tabs>
          <w:tab w:val="left" w:pos="1134"/>
        </w:tabs>
        <w:spacing w:line="240" w:lineRule="auto"/>
        <w:ind w:left="0" w:firstLine="709"/>
        <w:contextualSpacing w:val="0"/>
        <w:jc w:val="both"/>
        <w:rPr>
          <w:rFonts w:ascii="Times New Roman" w:hAnsi="Times New Roman" w:cs="Times New Roman"/>
          <w:sz w:val="28"/>
          <w:szCs w:val="28"/>
        </w:rPr>
      </w:pPr>
      <w:r w:rsidRPr="00EC20F8">
        <w:rPr>
          <w:rFonts w:ascii="Times New Roman" w:hAnsi="Times New Roman" w:cs="Times New Roman"/>
          <w:sz w:val="28"/>
          <w:szCs w:val="28"/>
        </w:rPr>
        <w:t>- капитальный ремонт электросетей в 4 образовательных;</w:t>
      </w:r>
    </w:p>
    <w:p w:rsidR="000663EB" w:rsidRPr="00EC20F8" w:rsidRDefault="000663EB" w:rsidP="000663EB">
      <w:pPr>
        <w:pStyle w:val="a3"/>
        <w:tabs>
          <w:tab w:val="left" w:pos="1134"/>
        </w:tabs>
        <w:spacing w:line="240" w:lineRule="auto"/>
        <w:ind w:left="0" w:firstLine="709"/>
        <w:contextualSpacing w:val="0"/>
        <w:jc w:val="both"/>
        <w:rPr>
          <w:rFonts w:ascii="Times New Roman" w:hAnsi="Times New Roman" w:cs="Times New Roman"/>
          <w:sz w:val="28"/>
          <w:szCs w:val="28"/>
        </w:rPr>
      </w:pPr>
      <w:r w:rsidRPr="00EC20F8">
        <w:rPr>
          <w:rFonts w:ascii="Times New Roman" w:hAnsi="Times New Roman" w:cs="Times New Roman"/>
          <w:sz w:val="28"/>
          <w:szCs w:val="28"/>
        </w:rPr>
        <w:t>- комплексный ремонт в 11 образовательных учреждениях;</w:t>
      </w:r>
    </w:p>
    <w:p w:rsidR="000663EB" w:rsidRPr="00EC20F8" w:rsidRDefault="000663EB" w:rsidP="000663EB">
      <w:pPr>
        <w:pStyle w:val="a3"/>
        <w:tabs>
          <w:tab w:val="left" w:pos="1134"/>
        </w:tabs>
        <w:spacing w:line="240" w:lineRule="auto"/>
        <w:ind w:left="0" w:firstLine="709"/>
        <w:contextualSpacing w:val="0"/>
        <w:jc w:val="both"/>
        <w:rPr>
          <w:rFonts w:ascii="Times New Roman" w:hAnsi="Times New Roman" w:cs="Times New Roman"/>
          <w:sz w:val="28"/>
          <w:szCs w:val="28"/>
        </w:rPr>
      </w:pPr>
      <w:r w:rsidRPr="00EC20F8">
        <w:rPr>
          <w:rFonts w:ascii="Times New Roman" w:hAnsi="Times New Roman" w:cs="Times New Roman"/>
          <w:sz w:val="28"/>
          <w:szCs w:val="28"/>
        </w:rPr>
        <w:t>- косметический ремонт в 1 образовательном учреждении;</w:t>
      </w:r>
    </w:p>
    <w:p w:rsidR="000663EB" w:rsidRPr="00EC20F8" w:rsidRDefault="000663EB" w:rsidP="000663EB">
      <w:pPr>
        <w:pStyle w:val="a3"/>
        <w:tabs>
          <w:tab w:val="left" w:pos="1134"/>
        </w:tabs>
        <w:spacing w:line="240" w:lineRule="auto"/>
        <w:ind w:left="0" w:firstLine="709"/>
        <w:contextualSpacing w:val="0"/>
        <w:jc w:val="both"/>
        <w:rPr>
          <w:rFonts w:ascii="Times New Roman" w:hAnsi="Times New Roman" w:cs="Times New Roman"/>
          <w:sz w:val="28"/>
          <w:szCs w:val="28"/>
        </w:rPr>
      </w:pPr>
      <w:r w:rsidRPr="00EC20F8">
        <w:rPr>
          <w:rFonts w:ascii="Times New Roman" w:hAnsi="Times New Roman" w:cs="Times New Roman"/>
          <w:sz w:val="28"/>
          <w:szCs w:val="28"/>
        </w:rPr>
        <w:t xml:space="preserve">- иные виды работ (подготовка ПСД, </w:t>
      </w:r>
      <w:proofErr w:type="spellStart"/>
      <w:r w:rsidRPr="00EC20F8">
        <w:rPr>
          <w:rFonts w:ascii="Times New Roman" w:hAnsi="Times New Roman" w:cs="Times New Roman"/>
          <w:sz w:val="28"/>
          <w:szCs w:val="28"/>
        </w:rPr>
        <w:t>отмостки</w:t>
      </w:r>
      <w:proofErr w:type="spellEnd"/>
      <w:r w:rsidRPr="00EC20F8">
        <w:rPr>
          <w:rFonts w:ascii="Times New Roman" w:hAnsi="Times New Roman" w:cs="Times New Roman"/>
          <w:sz w:val="28"/>
          <w:szCs w:val="28"/>
        </w:rPr>
        <w:t xml:space="preserve"> крыльца, установка малых игровых форм, вентиляция и т.д.) в 18 образовательных учреждениях;</w:t>
      </w:r>
    </w:p>
    <w:p w:rsidR="000663EB" w:rsidRPr="00EC20F8" w:rsidRDefault="000663EB" w:rsidP="000663EB">
      <w:pPr>
        <w:tabs>
          <w:tab w:val="left" w:pos="1134"/>
        </w:tabs>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приобретены </w:t>
      </w:r>
      <w:proofErr w:type="spellStart"/>
      <w:r w:rsidRPr="00EC20F8">
        <w:rPr>
          <w:rFonts w:ascii="Times New Roman" w:hAnsi="Times New Roman" w:cs="Times New Roman"/>
          <w:sz w:val="28"/>
          <w:szCs w:val="28"/>
        </w:rPr>
        <w:t>мусоросборные</w:t>
      </w:r>
      <w:proofErr w:type="spellEnd"/>
      <w:r w:rsidRPr="00EC20F8">
        <w:rPr>
          <w:rFonts w:ascii="Times New Roman" w:hAnsi="Times New Roman" w:cs="Times New Roman"/>
          <w:sz w:val="28"/>
          <w:szCs w:val="28"/>
        </w:rPr>
        <w:t xml:space="preserve"> контейнеры в 14 муниципальных учреждений.</w:t>
      </w:r>
    </w:p>
    <w:p w:rsidR="000663EB" w:rsidRPr="00EC20F8" w:rsidRDefault="000663EB" w:rsidP="000663EB">
      <w:pPr>
        <w:pStyle w:val="a3"/>
        <w:tabs>
          <w:tab w:val="left" w:pos="1134"/>
        </w:tabs>
        <w:spacing w:line="240" w:lineRule="auto"/>
        <w:ind w:left="0" w:firstLine="709"/>
        <w:contextualSpacing w:val="0"/>
        <w:jc w:val="both"/>
        <w:rPr>
          <w:rFonts w:ascii="Times New Roman" w:hAnsi="Times New Roman" w:cs="Times New Roman"/>
          <w:sz w:val="28"/>
          <w:szCs w:val="28"/>
        </w:rPr>
      </w:pPr>
      <w:r w:rsidRPr="00EC20F8">
        <w:rPr>
          <w:rFonts w:ascii="Times New Roman" w:hAnsi="Times New Roman" w:cs="Times New Roman"/>
          <w:sz w:val="28"/>
          <w:szCs w:val="28"/>
        </w:rPr>
        <w:t xml:space="preserve">За счет </w:t>
      </w:r>
      <w:proofErr w:type="spellStart"/>
      <w:r w:rsidRPr="00EC20F8">
        <w:rPr>
          <w:rFonts w:ascii="Times New Roman" w:hAnsi="Times New Roman" w:cs="Times New Roman"/>
          <w:sz w:val="28"/>
          <w:szCs w:val="28"/>
        </w:rPr>
        <w:t>софинансирования</w:t>
      </w:r>
      <w:proofErr w:type="spellEnd"/>
      <w:r w:rsidRPr="00EC20F8">
        <w:rPr>
          <w:rFonts w:ascii="Times New Roman" w:hAnsi="Times New Roman" w:cs="Times New Roman"/>
          <w:sz w:val="28"/>
          <w:szCs w:val="28"/>
        </w:rPr>
        <w:t xml:space="preserve"> из краевого бюджета проведено оснащение 46 образовательных учреждений защитным оборудованием и сооружениями</w:t>
      </w:r>
      <w:r w:rsidR="001C7891" w:rsidRPr="00EC20F8">
        <w:rPr>
          <w:rFonts w:ascii="Times New Roman" w:hAnsi="Times New Roman" w:cs="Times New Roman"/>
          <w:sz w:val="28"/>
          <w:szCs w:val="28"/>
        </w:rPr>
        <w:t>,</w:t>
      </w:r>
      <w:r w:rsidRPr="00EC20F8">
        <w:rPr>
          <w:rFonts w:ascii="Times New Roman" w:hAnsi="Times New Roman" w:cs="Times New Roman"/>
          <w:sz w:val="28"/>
          <w:szCs w:val="28"/>
        </w:rPr>
        <w:t xml:space="preserve"> в целях обеспечения антитеррористической безопасности</w:t>
      </w:r>
      <w:r w:rsidR="001C7891" w:rsidRPr="00EC20F8">
        <w:rPr>
          <w:rFonts w:ascii="Times New Roman" w:hAnsi="Times New Roman" w:cs="Times New Roman"/>
          <w:sz w:val="28"/>
          <w:szCs w:val="28"/>
        </w:rPr>
        <w:t>,</w:t>
      </w:r>
      <w:r w:rsidRPr="00EC20F8">
        <w:rPr>
          <w:rFonts w:ascii="Times New Roman" w:hAnsi="Times New Roman" w:cs="Times New Roman"/>
          <w:sz w:val="28"/>
          <w:szCs w:val="28"/>
        </w:rPr>
        <w:t xml:space="preserve"> и установлена система видеонаблюдения в 17 образовательных учреждениях. </w:t>
      </w:r>
    </w:p>
    <w:p w:rsidR="000663EB" w:rsidRPr="00EC20F8" w:rsidRDefault="000663EB" w:rsidP="000663EB">
      <w:pPr>
        <w:ind w:firstLine="709"/>
        <w:jc w:val="both"/>
        <w:rPr>
          <w:rFonts w:ascii="Times New Roman" w:hAnsi="Times New Roman" w:cs="Times New Roman"/>
          <w:strike/>
          <w:sz w:val="28"/>
          <w:szCs w:val="28"/>
        </w:rPr>
      </w:pPr>
      <w:r w:rsidRPr="00EC20F8">
        <w:rPr>
          <w:rFonts w:ascii="Times New Roman" w:hAnsi="Times New Roman" w:cs="Times New Roman"/>
          <w:bCs/>
          <w:sz w:val="28"/>
          <w:szCs w:val="28"/>
        </w:rPr>
        <w:t xml:space="preserve">Приоритетными для администрации городского округа являются вопросы сбережения и укрепления здоровья учащихся. В образовательных учреждениях функционируют 43 медицинских кабинета, </w:t>
      </w:r>
      <w:proofErr w:type="gramStart"/>
      <w:r w:rsidRPr="00EC20F8">
        <w:rPr>
          <w:rFonts w:ascii="Times New Roman" w:hAnsi="Times New Roman" w:cs="Times New Roman"/>
          <w:bCs/>
          <w:sz w:val="28"/>
          <w:szCs w:val="28"/>
        </w:rPr>
        <w:t>соответствующие</w:t>
      </w:r>
      <w:proofErr w:type="gramEnd"/>
      <w:r w:rsidRPr="00EC20F8">
        <w:rPr>
          <w:rFonts w:ascii="Times New Roman" w:hAnsi="Times New Roman" w:cs="Times New Roman"/>
          <w:bCs/>
          <w:sz w:val="28"/>
          <w:szCs w:val="28"/>
        </w:rPr>
        <w:t xml:space="preserve"> современным требованиям. </w:t>
      </w:r>
      <w:r w:rsidRPr="00EC20F8">
        <w:rPr>
          <w:rFonts w:ascii="Times New Roman" w:hAnsi="Times New Roman" w:cs="Times New Roman"/>
          <w:sz w:val="28"/>
          <w:szCs w:val="28"/>
        </w:rPr>
        <w:t>В 6 школах городского округа обеспечено оказание помощи обучающимся с использованием аппаратно-программных комплексов «</w:t>
      </w:r>
      <w:proofErr w:type="spellStart"/>
      <w:proofErr w:type="gramStart"/>
      <w:r w:rsidRPr="00EC20F8">
        <w:rPr>
          <w:rFonts w:ascii="Times New Roman" w:hAnsi="Times New Roman" w:cs="Times New Roman"/>
          <w:sz w:val="28"/>
          <w:szCs w:val="28"/>
        </w:rPr>
        <w:t>БОС-Здоровье</w:t>
      </w:r>
      <w:proofErr w:type="spellEnd"/>
      <w:proofErr w:type="gramEnd"/>
      <w:r w:rsidRPr="00EC20F8">
        <w:rPr>
          <w:rFonts w:ascii="Times New Roman" w:hAnsi="Times New Roman" w:cs="Times New Roman"/>
          <w:sz w:val="28"/>
          <w:szCs w:val="28"/>
        </w:rPr>
        <w:t xml:space="preserve">», «Офтальмологический кабинет», «Коррекция </w:t>
      </w:r>
      <w:proofErr w:type="spellStart"/>
      <w:r w:rsidRPr="00EC20F8">
        <w:rPr>
          <w:rFonts w:ascii="Times New Roman" w:hAnsi="Times New Roman" w:cs="Times New Roman"/>
          <w:sz w:val="28"/>
          <w:szCs w:val="28"/>
        </w:rPr>
        <w:t>психо-эмоциональных</w:t>
      </w:r>
      <w:proofErr w:type="spellEnd"/>
      <w:r w:rsidRPr="00EC20F8">
        <w:rPr>
          <w:rFonts w:ascii="Times New Roman" w:hAnsi="Times New Roman" w:cs="Times New Roman"/>
          <w:sz w:val="28"/>
          <w:szCs w:val="28"/>
        </w:rPr>
        <w:t xml:space="preserve"> состояний». Ежегодно на аппаратных комплексах </w:t>
      </w:r>
      <w:proofErr w:type="gramStart"/>
      <w:r w:rsidRPr="00EC20F8">
        <w:rPr>
          <w:rFonts w:ascii="Times New Roman" w:hAnsi="Times New Roman" w:cs="Times New Roman"/>
          <w:sz w:val="28"/>
          <w:szCs w:val="28"/>
        </w:rPr>
        <w:t>БОС</w:t>
      </w:r>
      <w:proofErr w:type="gramEnd"/>
      <w:r w:rsidRPr="00EC20F8">
        <w:rPr>
          <w:rFonts w:ascii="Times New Roman" w:hAnsi="Times New Roman" w:cs="Times New Roman"/>
          <w:sz w:val="28"/>
          <w:szCs w:val="28"/>
        </w:rPr>
        <w:t xml:space="preserve"> (биологической обратной связи) проходит обучение около 770 учащихся. </w:t>
      </w:r>
    </w:p>
    <w:p w:rsidR="000663EB" w:rsidRPr="00EC20F8" w:rsidRDefault="000663EB" w:rsidP="000663EB">
      <w:pPr>
        <w:widowControl w:val="0"/>
        <w:tabs>
          <w:tab w:val="left" w:pos="0"/>
        </w:tabs>
        <w:suppressAutoHyphens/>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Горячее питание было организовано для всех обучающихся муниципальных образовательных учреждений городского округа. В рамках решения задачи по созданию условий для сохранения и укрепления </w:t>
      </w:r>
      <w:proofErr w:type="gramStart"/>
      <w:r w:rsidRPr="00EC20F8">
        <w:rPr>
          <w:rFonts w:ascii="Times New Roman" w:hAnsi="Times New Roman" w:cs="Times New Roman"/>
          <w:sz w:val="28"/>
          <w:szCs w:val="28"/>
        </w:rPr>
        <w:t>здоровья</w:t>
      </w:r>
      <w:proofErr w:type="gramEnd"/>
      <w:r w:rsidRPr="00EC20F8">
        <w:rPr>
          <w:rFonts w:ascii="Times New Roman" w:hAnsi="Times New Roman" w:cs="Times New Roman"/>
          <w:sz w:val="28"/>
          <w:szCs w:val="28"/>
        </w:rPr>
        <w:t xml:space="preserve"> обучающихся и воспитанников образовательных учреждений приобретена столовая и кухонная посуда, мягкий инвентарь в 8 учреждений; школьные пищеблоки 20 учреждений обеспечены современным технологическим оборудованием; приобретена мебель для обеденных зон школьных столовых 3 учреждений образования; в 3 учреждениях внедрена система электронных расчетов за питание. </w:t>
      </w:r>
      <w:proofErr w:type="gramStart"/>
      <w:r w:rsidRPr="00EC20F8">
        <w:rPr>
          <w:rFonts w:ascii="Times New Roman" w:hAnsi="Times New Roman" w:cs="Times New Roman"/>
          <w:sz w:val="28"/>
          <w:szCs w:val="28"/>
        </w:rPr>
        <w:t>В 8 учреждениях в течение учебного года созданы и выпущены в прокат ролики, изготовлены тематические стенды, полиграфическая продукция, организованы «Дни открытых дверей в школьную столовую», проведены дегустации блюд школьного меню; выпущены программные сюжеты в 2 учреждениях; разработано примерное меню для оздоровительных учреждений с дневным пребыванием детей в период каникул.</w:t>
      </w:r>
      <w:proofErr w:type="gramEnd"/>
    </w:p>
    <w:p w:rsidR="000663EB" w:rsidRPr="00EC20F8" w:rsidRDefault="000663EB" w:rsidP="000663EB">
      <w:pPr>
        <w:widowControl w:val="0"/>
        <w:tabs>
          <w:tab w:val="left" w:pos="0"/>
        </w:tabs>
        <w:suppressAutoHyphens/>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Проводилась комплексная работа по выявлению и поддержке одаренных детей. Увеличилось общее число детей, принявших участие в олимпиадах и конкурсах. </w:t>
      </w:r>
    </w:p>
    <w:p w:rsidR="000663EB" w:rsidRPr="00EC20F8" w:rsidRDefault="000663EB" w:rsidP="000663EB">
      <w:pPr>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bCs/>
          <w:sz w:val="28"/>
          <w:szCs w:val="28"/>
        </w:rPr>
        <w:t>В 2014 году</w:t>
      </w:r>
      <w:r w:rsidRPr="00EC20F8">
        <w:rPr>
          <w:rFonts w:ascii="Times New Roman" w:hAnsi="Times New Roman" w:cs="Times New Roman"/>
          <w:sz w:val="28"/>
          <w:szCs w:val="28"/>
        </w:rPr>
        <w:t xml:space="preserve"> численность обучающихся в общеобразовательных учреждениях составит 17 782 человека.</w:t>
      </w:r>
      <w:proofErr w:type="gramEnd"/>
      <w:r w:rsidRPr="00EC20F8">
        <w:rPr>
          <w:rFonts w:ascii="Times New Roman" w:hAnsi="Times New Roman" w:cs="Times New Roman"/>
          <w:sz w:val="28"/>
          <w:szCs w:val="28"/>
        </w:rPr>
        <w:t xml:space="preserve"> С учетом влияния демографических процессов в 2015-2017 годах численность обучающихся в дневных школах будет расти и к 2017 году может составить 18 625 человек по первому варианту, 18 630 человек - по второму. </w:t>
      </w:r>
    </w:p>
    <w:p w:rsidR="000663EB" w:rsidRPr="00EC20F8" w:rsidRDefault="000663EB" w:rsidP="000663EB">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Прогнозируется незначительное увеличение численности </w:t>
      </w:r>
      <w:proofErr w:type="gramStart"/>
      <w:r w:rsidRPr="00EC20F8">
        <w:rPr>
          <w:rFonts w:ascii="Times New Roman" w:hAnsi="Times New Roman" w:cs="Times New Roman"/>
          <w:sz w:val="28"/>
          <w:szCs w:val="28"/>
        </w:rPr>
        <w:t>обучающихся</w:t>
      </w:r>
      <w:proofErr w:type="gramEnd"/>
      <w:r w:rsidRPr="00EC20F8">
        <w:rPr>
          <w:rFonts w:ascii="Times New Roman" w:hAnsi="Times New Roman" w:cs="Times New Roman"/>
          <w:sz w:val="28"/>
          <w:szCs w:val="28"/>
        </w:rPr>
        <w:t xml:space="preserve"> во вторую смену с 12,5 % в 2013 году до 13,6 % в 2017 году. На увеличение данного показателя, кроме демографической ситуации, оказало влияние закрытие на </w:t>
      </w:r>
      <w:proofErr w:type="spellStart"/>
      <w:r w:rsidRPr="00EC20F8">
        <w:rPr>
          <w:rFonts w:ascii="Times New Roman" w:hAnsi="Times New Roman" w:cs="Times New Roman"/>
          <w:sz w:val="28"/>
          <w:szCs w:val="28"/>
        </w:rPr>
        <w:t>сейсмоусиление</w:t>
      </w:r>
      <w:proofErr w:type="spellEnd"/>
      <w:r w:rsidRPr="00EC20F8">
        <w:rPr>
          <w:rFonts w:ascii="Times New Roman" w:hAnsi="Times New Roman" w:cs="Times New Roman"/>
          <w:sz w:val="28"/>
          <w:szCs w:val="28"/>
        </w:rPr>
        <w:t xml:space="preserve"> МАОУ «Средняя школа № 8», а также введение в учебные планы общеобразовательных учреждений обязательного третьего часа физической культуры, в </w:t>
      </w:r>
      <w:proofErr w:type="gramStart"/>
      <w:r w:rsidRPr="00EC20F8">
        <w:rPr>
          <w:rFonts w:ascii="Times New Roman" w:hAnsi="Times New Roman" w:cs="Times New Roman"/>
          <w:sz w:val="28"/>
          <w:szCs w:val="28"/>
        </w:rPr>
        <w:t>связи</w:t>
      </w:r>
      <w:proofErr w:type="gramEnd"/>
      <w:r w:rsidRPr="00EC20F8">
        <w:rPr>
          <w:rFonts w:ascii="Times New Roman" w:hAnsi="Times New Roman" w:cs="Times New Roman"/>
          <w:sz w:val="28"/>
          <w:szCs w:val="28"/>
        </w:rPr>
        <w:t xml:space="preserve"> с чем произошло увеличение загруженности спортивных залов.</w:t>
      </w:r>
    </w:p>
    <w:p w:rsidR="000663EB" w:rsidRPr="00EC20F8" w:rsidRDefault="000663EB" w:rsidP="000663EB">
      <w:pPr>
        <w:widowControl w:val="0"/>
        <w:tabs>
          <w:tab w:val="left" w:pos="0"/>
        </w:tabs>
        <w:suppressAutoHyphens/>
        <w:spacing w:line="240" w:lineRule="auto"/>
        <w:ind w:firstLine="709"/>
        <w:jc w:val="both"/>
        <w:rPr>
          <w:rFonts w:ascii="Times New Roman" w:hAnsi="Times New Roman" w:cs="Times New Roman"/>
          <w:sz w:val="28"/>
          <w:szCs w:val="28"/>
          <w:highlight w:val="yellow"/>
        </w:rPr>
      </w:pPr>
      <w:proofErr w:type="gramStart"/>
      <w:r w:rsidRPr="00EC20F8">
        <w:rPr>
          <w:rFonts w:ascii="Times New Roman" w:hAnsi="Times New Roman" w:cs="Times New Roman"/>
          <w:bCs/>
          <w:sz w:val="28"/>
          <w:szCs w:val="28"/>
        </w:rPr>
        <w:t xml:space="preserve">В 2015-2017 годах </w:t>
      </w:r>
      <w:r w:rsidRPr="00EC20F8">
        <w:rPr>
          <w:rFonts w:ascii="Times New Roman" w:hAnsi="Times New Roman" w:cs="Times New Roman"/>
          <w:sz w:val="28"/>
          <w:szCs w:val="28"/>
        </w:rPr>
        <w:t xml:space="preserve">деятельность администрации городского округа в сфере образования будет направлена на достижение целей, определенных в рамках муниципальной программы «Развитие образования и социальная поддержка граждан в </w:t>
      </w:r>
      <w:proofErr w:type="spellStart"/>
      <w:r w:rsidRPr="00EC20F8">
        <w:rPr>
          <w:rFonts w:ascii="Times New Roman" w:hAnsi="Times New Roman" w:cs="Times New Roman"/>
          <w:sz w:val="28"/>
          <w:szCs w:val="28"/>
        </w:rPr>
        <w:t>Петропавловск-Камчатском</w:t>
      </w:r>
      <w:proofErr w:type="spellEnd"/>
      <w:r w:rsidRPr="00EC20F8">
        <w:rPr>
          <w:rFonts w:ascii="Times New Roman" w:hAnsi="Times New Roman" w:cs="Times New Roman"/>
          <w:sz w:val="28"/>
          <w:szCs w:val="28"/>
        </w:rPr>
        <w:t xml:space="preserve"> городском округе»</w:t>
      </w:r>
      <w:r w:rsidR="00550D90" w:rsidRPr="00EC20F8">
        <w:rPr>
          <w:rFonts w:ascii="Times New Roman" w:hAnsi="Times New Roman" w:cs="Times New Roman"/>
          <w:sz w:val="28"/>
          <w:szCs w:val="28"/>
        </w:rPr>
        <w:t xml:space="preserve"> (подпрограмма 1 «Развитие общего и дополнительного образования»)</w:t>
      </w:r>
      <w:r w:rsidRPr="00EC20F8">
        <w:rPr>
          <w:rFonts w:ascii="Times New Roman" w:hAnsi="Times New Roman" w:cs="Times New Roman"/>
          <w:sz w:val="28"/>
          <w:szCs w:val="28"/>
        </w:rPr>
        <w:t xml:space="preserve">. </w:t>
      </w:r>
      <w:proofErr w:type="gramEnd"/>
    </w:p>
    <w:p w:rsidR="000663EB" w:rsidRPr="00EC20F8" w:rsidRDefault="000663EB" w:rsidP="000663EB">
      <w:pPr>
        <w:autoSpaceDE w:val="0"/>
        <w:autoSpaceDN w:val="0"/>
        <w:adjustRightInd w:val="0"/>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В рамках создания условий, обеспечивающих инновационный характер образования, как и в предыдущие годы, будут проводиться мероприятия обеспечивающие переход общеобразовательных учреждений на федеральный государственный образовательный стандарт (планируется приобретение школьной мебели в соответствии </w:t>
      </w:r>
      <w:proofErr w:type="spellStart"/>
      <w:r w:rsidRPr="00EC20F8">
        <w:rPr>
          <w:rFonts w:ascii="Times New Roman" w:hAnsi="Times New Roman" w:cs="Times New Roman"/>
          <w:sz w:val="28"/>
          <w:szCs w:val="28"/>
        </w:rPr>
        <w:t>СанПиН</w:t>
      </w:r>
      <w:proofErr w:type="spellEnd"/>
      <w:r w:rsidRPr="00EC20F8">
        <w:rPr>
          <w:rFonts w:ascii="Times New Roman" w:hAnsi="Times New Roman" w:cs="Times New Roman"/>
          <w:sz w:val="28"/>
          <w:szCs w:val="28"/>
        </w:rPr>
        <w:t>, приобретение оборудования, программного и методологического обеспечения для общеобразовательных учреждений); будут осуществляться мероприятия по поддержке муниципальных экспериментальных площадок и инновационных общеобразовательных учреждений, лучших педагогов.</w:t>
      </w:r>
      <w:proofErr w:type="gramEnd"/>
      <w:r w:rsidRPr="00EC20F8">
        <w:rPr>
          <w:rFonts w:ascii="Times New Roman" w:hAnsi="Times New Roman" w:cs="Times New Roman"/>
          <w:sz w:val="28"/>
          <w:szCs w:val="28"/>
        </w:rPr>
        <w:t xml:space="preserve"> Продолжится комплексная работа по созданию системы выявления и поддержки одаренных детей, включающая в себя предметные олимпиады, разнообразные фестивали, конкурсы, интеллектуальные игры,</w:t>
      </w:r>
      <w:r w:rsidRPr="00EC20F8">
        <w:t xml:space="preserve"> </w:t>
      </w:r>
      <w:r w:rsidRPr="00EC20F8">
        <w:rPr>
          <w:rFonts w:ascii="Times New Roman" w:hAnsi="Times New Roman" w:cs="Times New Roman"/>
          <w:sz w:val="28"/>
          <w:szCs w:val="28"/>
        </w:rPr>
        <w:t>проведение профильных школ в период каникул, популяризацию достижений одаренных детей и их педагогов.</w:t>
      </w:r>
    </w:p>
    <w:p w:rsidR="000663EB" w:rsidRPr="00EC20F8" w:rsidRDefault="000663EB" w:rsidP="000663EB">
      <w:pPr>
        <w:pStyle w:val="af8"/>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В целях создания условий для сохранения и укрепления </w:t>
      </w:r>
      <w:proofErr w:type="gramStart"/>
      <w:r w:rsidRPr="00EC20F8">
        <w:rPr>
          <w:rFonts w:ascii="Times New Roman" w:hAnsi="Times New Roman" w:cs="Times New Roman"/>
          <w:sz w:val="28"/>
          <w:szCs w:val="28"/>
        </w:rPr>
        <w:t>здоровья</w:t>
      </w:r>
      <w:proofErr w:type="gramEnd"/>
      <w:r w:rsidRPr="00EC20F8">
        <w:rPr>
          <w:rFonts w:ascii="Times New Roman" w:hAnsi="Times New Roman" w:cs="Times New Roman"/>
          <w:sz w:val="28"/>
          <w:szCs w:val="28"/>
        </w:rPr>
        <w:t xml:space="preserve"> обучающихся и воспитанников образовательных учреждений запланировано приобретение медикаментов для медицинских кабинетов; приобретение спортивного оборудования и инвентаря для общеобразовательных учреждений; внедрение здоровьесберегающих технологий и методик обучения; установление льгот для оплаты содержания в оздоровительном лагере детей «группы риска»; </w:t>
      </w:r>
      <w:proofErr w:type="gramStart"/>
      <w:r w:rsidRPr="00EC20F8">
        <w:rPr>
          <w:rFonts w:ascii="Times New Roman" w:hAnsi="Times New Roman" w:cs="Times New Roman"/>
          <w:sz w:val="28"/>
          <w:szCs w:val="28"/>
        </w:rPr>
        <w:t xml:space="preserve">внедрение современных форм организации питания (проведение ремонтных и демонтажных работ на пищеблоках школьных столовых, приобретение и монтаж оборудования, обеденной мебели, специализированных транспортных средств, приобретение столовой, кухонной посуды и мягкого инвентаря, обеспечение школьных пищеблоков современным технологическим оборудованием, приведение помещений пищеблоков в соответствие с требованиями </w:t>
      </w:r>
      <w:proofErr w:type="spellStart"/>
      <w:r w:rsidRPr="00EC20F8">
        <w:rPr>
          <w:rFonts w:ascii="Times New Roman" w:hAnsi="Times New Roman" w:cs="Times New Roman"/>
          <w:sz w:val="28"/>
          <w:szCs w:val="28"/>
        </w:rPr>
        <w:t>СанПиН</w:t>
      </w:r>
      <w:proofErr w:type="spellEnd"/>
      <w:r w:rsidRPr="00EC20F8">
        <w:rPr>
          <w:rFonts w:ascii="Times New Roman" w:hAnsi="Times New Roman" w:cs="Times New Roman"/>
          <w:sz w:val="28"/>
          <w:szCs w:val="28"/>
        </w:rPr>
        <w:t>, внедрение системы электронных расчетов за питание).</w:t>
      </w:r>
      <w:proofErr w:type="gramEnd"/>
    </w:p>
    <w:p w:rsidR="000663EB" w:rsidRPr="00EC20F8" w:rsidRDefault="000663EB" w:rsidP="000663EB">
      <w:pPr>
        <w:pStyle w:val="af8"/>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Продолжится развитие инфраструктуры образовательных учреждений, направленное на создание безопасных и комфортных условий нахождения в них учащихся и воспитанников. </w:t>
      </w:r>
      <w:proofErr w:type="gramStart"/>
      <w:r w:rsidRPr="00EC20F8">
        <w:rPr>
          <w:rFonts w:ascii="Times New Roman" w:hAnsi="Times New Roman" w:cs="Times New Roman"/>
          <w:sz w:val="28"/>
          <w:szCs w:val="28"/>
        </w:rPr>
        <w:t>В этом направлении планируется реализация мероприятий по приведению общеобразовательных учреждений в соответствие с современными требованиями; установка и восстановление ограждений; оснащение защитным оборудованием в целях обеспечения антитеррористической безопасности; установка систем видеонаблюдения в образовательных учреждениях.</w:t>
      </w:r>
      <w:proofErr w:type="gramEnd"/>
    </w:p>
    <w:p w:rsidR="000663EB" w:rsidRPr="00EC20F8" w:rsidRDefault="000663EB" w:rsidP="000663EB">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В целях создания адаптивной среды, обеспечивающей возможность получения доступного качественного образования для детей с ограниченными возможностями здоровья и детей-инвалидов, будет организовано получение образования с использованием дистанционных образовательных технологий.</w:t>
      </w:r>
    </w:p>
    <w:p w:rsidR="000663EB" w:rsidRPr="00EC20F8" w:rsidRDefault="000663EB" w:rsidP="00550D90">
      <w:pPr>
        <w:widowControl w:val="0"/>
        <w:autoSpaceDE w:val="0"/>
        <w:autoSpaceDN w:val="0"/>
        <w:adjustRightInd w:val="0"/>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В рамках </w:t>
      </w:r>
      <w:r w:rsidR="00550D90" w:rsidRPr="00EC20F8">
        <w:rPr>
          <w:rFonts w:ascii="Times New Roman" w:hAnsi="Times New Roman" w:cs="Times New Roman"/>
          <w:sz w:val="28"/>
          <w:szCs w:val="28"/>
        </w:rPr>
        <w:t>подпрограмма 1</w:t>
      </w:r>
      <w:r w:rsidRPr="00EC20F8">
        <w:rPr>
          <w:rFonts w:ascii="Times New Roman" w:hAnsi="Times New Roman" w:cs="Times New Roman"/>
          <w:sz w:val="28"/>
          <w:szCs w:val="28"/>
        </w:rPr>
        <w:t xml:space="preserve"> </w:t>
      </w:r>
      <w:r w:rsidR="00550D90" w:rsidRPr="00EC20F8">
        <w:rPr>
          <w:rFonts w:ascii="Times New Roman" w:hAnsi="Times New Roman" w:cs="Times New Roman"/>
          <w:sz w:val="28"/>
          <w:szCs w:val="28"/>
        </w:rPr>
        <w:t xml:space="preserve">«Развитие общего и дополнительного образования» </w:t>
      </w:r>
      <w:r w:rsidRPr="00EC20F8">
        <w:rPr>
          <w:rFonts w:ascii="Times New Roman" w:hAnsi="Times New Roman" w:cs="Times New Roman"/>
          <w:sz w:val="28"/>
          <w:szCs w:val="28"/>
        </w:rPr>
        <w:t>предусмотрены мероприятия по укреплению материально-технической базы образовательных учреждений дополнительного образования детей; поддержка деятельности детских общественных объединений, клубов по интересам; по обеспечению участия творческих коллективов, победителей спортивных соревнований в региональных, российских и международных конкурсах и соревнованиях; мероприятия по сохранению и развитию системы дополнительного образования на базе общеобразовательных учреждений.</w:t>
      </w:r>
      <w:proofErr w:type="gramEnd"/>
    </w:p>
    <w:p w:rsidR="000663EB" w:rsidRPr="00EC20F8" w:rsidRDefault="000663EB" w:rsidP="000663EB">
      <w:pPr>
        <w:widowControl w:val="0"/>
        <w:tabs>
          <w:tab w:val="left" w:pos="0"/>
        </w:tabs>
        <w:suppressAutoHyphens/>
        <w:spacing w:line="240" w:lineRule="auto"/>
        <w:ind w:firstLine="709"/>
        <w:jc w:val="both"/>
      </w:pPr>
      <w:r w:rsidRPr="00EC20F8">
        <w:rPr>
          <w:rFonts w:ascii="Times New Roman" w:hAnsi="Times New Roman" w:cs="Times New Roman"/>
          <w:sz w:val="28"/>
          <w:szCs w:val="28"/>
        </w:rPr>
        <w:t xml:space="preserve">Существенное влияние на развитие общего образования окажет реализация на территории городского округа Национальной образовательной инициативы «Наша новая школа», Национального проекта «Образование» и Комплекса мер по модернизации общего образования в </w:t>
      </w:r>
      <w:proofErr w:type="gramStart"/>
      <w:r w:rsidRPr="00EC20F8">
        <w:rPr>
          <w:rFonts w:ascii="Times New Roman" w:hAnsi="Times New Roman" w:cs="Times New Roman"/>
          <w:sz w:val="28"/>
          <w:szCs w:val="28"/>
        </w:rPr>
        <w:t>Петропавловск-Камчатском</w:t>
      </w:r>
      <w:proofErr w:type="gramEnd"/>
      <w:r w:rsidRPr="00EC20F8">
        <w:rPr>
          <w:rFonts w:ascii="Times New Roman" w:hAnsi="Times New Roman" w:cs="Times New Roman"/>
          <w:sz w:val="28"/>
          <w:szCs w:val="28"/>
        </w:rPr>
        <w:t xml:space="preserve"> городском округе в 2014 году. </w:t>
      </w:r>
      <w:proofErr w:type="gramStart"/>
      <w:r w:rsidRPr="00EC20F8">
        <w:rPr>
          <w:rFonts w:ascii="Times New Roman" w:hAnsi="Times New Roman" w:cs="Times New Roman"/>
          <w:sz w:val="28"/>
          <w:szCs w:val="28"/>
        </w:rPr>
        <w:t>В рамках реализации образовательной инициативы «Наша новая школа» будет проводиться работа по повышению профессионального уровня педагогических работников, руководителей образовательных учреждений через проведение профессиональных конкурсов, участие в семинарах, курсах повышения квалификации.</w:t>
      </w:r>
      <w:proofErr w:type="gramEnd"/>
    </w:p>
    <w:p w:rsidR="000663EB" w:rsidRPr="00EC20F8" w:rsidRDefault="000663EB" w:rsidP="000663EB">
      <w:pPr>
        <w:spacing w:line="240" w:lineRule="auto"/>
        <w:ind w:firstLine="709"/>
        <w:contextualSpacing/>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Нерешенным остается ряд проблем сферы образования городского округа, главные из которых: </w:t>
      </w:r>
      <w:r w:rsidRPr="00EC20F8">
        <w:rPr>
          <w:rFonts w:ascii="Times New Roman" w:hAnsi="Times New Roman" w:cs="Times New Roman"/>
          <w:bCs/>
          <w:sz w:val="28"/>
          <w:szCs w:val="28"/>
        </w:rPr>
        <w:t xml:space="preserve">не полное соответствие существующих условий обучения в общеобразовательных учреждениях требованиям </w:t>
      </w:r>
      <w:proofErr w:type="spellStart"/>
      <w:r w:rsidRPr="00EC20F8">
        <w:rPr>
          <w:rFonts w:ascii="Times New Roman" w:hAnsi="Times New Roman" w:cs="Times New Roman"/>
          <w:bCs/>
          <w:sz w:val="28"/>
          <w:szCs w:val="28"/>
        </w:rPr>
        <w:t>СанПиН</w:t>
      </w:r>
      <w:proofErr w:type="spellEnd"/>
      <w:r w:rsidRPr="00EC20F8">
        <w:rPr>
          <w:rFonts w:ascii="Times New Roman" w:hAnsi="Times New Roman" w:cs="Times New Roman"/>
          <w:bCs/>
          <w:sz w:val="28"/>
          <w:szCs w:val="28"/>
        </w:rPr>
        <w:t>, значительная степень изношенности зданий, технологического и учебного оборудования,</w:t>
      </w:r>
      <w:r w:rsidRPr="00EC20F8">
        <w:rPr>
          <w:rFonts w:ascii="Times New Roman" w:hAnsi="Times New Roman" w:cs="Times New Roman"/>
          <w:sz w:val="28"/>
          <w:szCs w:val="28"/>
        </w:rPr>
        <w:t xml:space="preserve"> устаревшая материальная база учреждений дополнительного образования детей спортивной направленности, отсутствие типового здания учреждения дополнительного образования детей, отсутствие условий для проведения соревнований (стадион);</w:t>
      </w:r>
      <w:proofErr w:type="gramEnd"/>
      <w:r w:rsidRPr="00EC20F8">
        <w:rPr>
          <w:rFonts w:ascii="Times New Roman" w:hAnsi="Times New Roman" w:cs="Times New Roman"/>
          <w:sz w:val="28"/>
          <w:szCs w:val="28"/>
        </w:rPr>
        <w:t xml:space="preserve"> о</w:t>
      </w:r>
      <w:r w:rsidRPr="00EC20F8">
        <w:rPr>
          <w:rStyle w:val="FontStyle28"/>
          <w:rFonts w:ascii="Times New Roman" w:hAnsi="Times New Roman" w:cs="Times New Roman"/>
          <w:sz w:val="28"/>
          <w:szCs w:val="28"/>
        </w:rPr>
        <w:t xml:space="preserve">тсутствие </w:t>
      </w:r>
      <w:r w:rsidRPr="00EC20F8">
        <w:rPr>
          <w:rFonts w:ascii="Times New Roman" w:hAnsi="Times New Roman" w:cs="Times New Roman"/>
          <w:sz w:val="28"/>
          <w:szCs w:val="28"/>
        </w:rPr>
        <w:t>организации строительства муниципального жилья (общежития) для молодых специалистов образовательных учреждений.</w:t>
      </w:r>
    </w:p>
    <w:p w:rsidR="000663EB" w:rsidRPr="00EC20F8" w:rsidRDefault="000663EB" w:rsidP="000663EB">
      <w:pPr>
        <w:spacing w:line="240" w:lineRule="auto"/>
        <w:jc w:val="both"/>
        <w:rPr>
          <w:rFonts w:ascii="Times New Roman" w:hAnsi="Times New Roman" w:cs="Times New Roman"/>
          <w:sz w:val="28"/>
          <w:szCs w:val="28"/>
        </w:rPr>
      </w:pPr>
    </w:p>
    <w:p w:rsidR="000663EB" w:rsidRPr="00EC20F8" w:rsidRDefault="000663EB" w:rsidP="000663EB">
      <w:pPr>
        <w:pStyle w:val="1"/>
        <w:ind w:firstLine="709"/>
      </w:pPr>
      <w:bookmarkStart w:id="95" w:name="_Toc368930214"/>
      <w:bookmarkStart w:id="96" w:name="_Toc368930838"/>
      <w:bookmarkStart w:id="97" w:name="_Toc368988897"/>
      <w:bookmarkStart w:id="98" w:name="_Toc400529676"/>
      <w:r w:rsidRPr="00EC20F8">
        <w:t>13. Обеспечение населения услугами культуры</w:t>
      </w:r>
      <w:bookmarkEnd w:id="95"/>
      <w:bookmarkEnd w:id="96"/>
      <w:bookmarkEnd w:id="97"/>
      <w:bookmarkEnd w:id="98"/>
    </w:p>
    <w:p w:rsidR="000663EB" w:rsidRPr="00EC20F8" w:rsidRDefault="000663EB" w:rsidP="000663EB">
      <w:pPr>
        <w:pStyle w:val="a3"/>
        <w:autoSpaceDE w:val="0"/>
        <w:autoSpaceDN w:val="0"/>
        <w:adjustRightInd w:val="0"/>
        <w:spacing w:line="240" w:lineRule="auto"/>
        <w:ind w:firstLine="709"/>
        <w:rPr>
          <w:rFonts w:ascii="Times New Roman" w:hAnsi="Times New Roman" w:cs="Times New Roman"/>
          <w:b/>
          <w:bCs/>
          <w:sz w:val="24"/>
          <w:szCs w:val="24"/>
        </w:rPr>
      </w:pPr>
    </w:p>
    <w:p w:rsidR="000663EB" w:rsidRPr="00EC20F8" w:rsidRDefault="000663EB" w:rsidP="000663EB">
      <w:pPr>
        <w:spacing w:line="240" w:lineRule="auto"/>
        <w:ind w:firstLine="709"/>
        <w:jc w:val="both"/>
        <w:rPr>
          <w:rFonts w:ascii="Times New Roman" w:hAnsi="Times New Roman" w:cs="Times New Roman"/>
          <w:sz w:val="28"/>
          <w:szCs w:val="28"/>
          <w:lang w:eastAsia="ru-RU"/>
        </w:rPr>
      </w:pPr>
      <w:r w:rsidRPr="00EC20F8">
        <w:rPr>
          <w:rFonts w:ascii="Times New Roman" w:hAnsi="Times New Roman" w:cs="Times New Roman"/>
          <w:sz w:val="28"/>
          <w:szCs w:val="28"/>
          <w:lang w:eastAsia="ru-RU"/>
        </w:rPr>
        <w:t xml:space="preserve">Население городского округа обеспечено разноплановыми муниципальными учреждениями культуры и образования в сфере искусства, созданы условия для организации досуга и отдыха. </w:t>
      </w:r>
    </w:p>
    <w:p w:rsidR="000663EB" w:rsidRPr="00EC20F8" w:rsidRDefault="000663EB" w:rsidP="000663EB">
      <w:pPr>
        <w:autoSpaceDE w:val="0"/>
        <w:autoSpaceDN w:val="0"/>
        <w:adjustRightInd w:val="0"/>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Основными направлениями развития сферы культуры в городском округе являются: обеспечение сохранения объектов историко-культурного наследия; создание условий для развития духовного потенциала и самодеятельного творчества; создание условий для развития системы художественно-эстетического образования детей; обеспечение условий для развития библиотечного обслуживания населения; обеспечение условий сохранения и развития материально-технической базы учреждений культуры.</w:t>
      </w:r>
      <w:proofErr w:type="gramEnd"/>
    </w:p>
    <w:p w:rsidR="000663EB" w:rsidRPr="00EC20F8" w:rsidRDefault="000663EB" w:rsidP="000663EB">
      <w:pPr>
        <w:tabs>
          <w:tab w:val="left" w:pos="8054"/>
        </w:tabs>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В 2013 году сеть муниципальных учреждений культуры, подведомственных Управлению культуры, спорта и молодежной политики администрации </w:t>
      </w:r>
      <w:proofErr w:type="gramStart"/>
      <w:r w:rsidRPr="00EC20F8">
        <w:rPr>
          <w:rFonts w:ascii="Times New Roman" w:hAnsi="Times New Roman" w:cs="Times New Roman"/>
          <w:sz w:val="28"/>
          <w:szCs w:val="28"/>
        </w:rPr>
        <w:t>Петропавловск-Камчатского</w:t>
      </w:r>
      <w:proofErr w:type="gramEnd"/>
      <w:r w:rsidRPr="00EC20F8">
        <w:rPr>
          <w:rFonts w:ascii="Times New Roman" w:hAnsi="Times New Roman" w:cs="Times New Roman"/>
          <w:sz w:val="28"/>
          <w:szCs w:val="28"/>
        </w:rPr>
        <w:t xml:space="preserve"> городского округа, была представлена следующими учреждениями:</w:t>
      </w:r>
    </w:p>
    <w:p w:rsidR="000663EB" w:rsidRPr="00EC20F8" w:rsidRDefault="000663EB" w:rsidP="000663EB">
      <w:pPr>
        <w:pStyle w:val="aa"/>
        <w:tabs>
          <w:tab w:val="left" w:pos="993"/>
          <w:tab w:val="left" w:pos="1134"/>
        </w:tabs>
        <w:spacing w:after="0"/>
        <w:ind w:firstLine="709"/>
        <w:jc w:val="both"/>
        <w:rPr>
          <w:rFonts w:ascii="Times New Roman" w:hAnsi="Times New Roman" w:cs="Times New Roman"/>
          <w:sz w:val="28"/>
          <w:szCs w:val="28"/>
        </w:rPr>
      </w:pPr>
      <w:r w:rsidRPr="00EC20F8">
        <w:rPr>
          <w:rFonts w:ascii="Times New Roman" w:hAnsi="Times New Roman" w:cs="Times New Roman"/>
          <w:sz w:val="28"/>
          <w:szCs w:val="28"/>
        </w:rPr>
        <w:t>-</w:t>
      </w:r>
      <w:r w:rsidRPr="00EC20F8">
        <w:rPr>
          <w:rFonts w:ascii="Times New Roman" w:hAnsi="Times New Roman" w:cs="Times New Roman"/>
          <w:sz w:val="28"/>
          <w:szCs w:val="28"/>
        </w:rPr>
        <w:tab/>
        <w:t>муниципальное бюджетное учреждение культуры (далее – МБУК) «Центральная городская библиотека», в состав которой входят 13 библиотек-филиалов;</w:t>
      </w:r>
    </w:p>
    <w:p w:rsidR="000663EB" w:rsidRPr="00EC20F8" w:rsidRDefault="000663EB" w:rsidP="000663EB">
      <w:pPr>
        <w:pStyle w:val="aa"/>
        <w:tabs>
          <w:tab w:val="left" w:pos="993"/>
          <w:tab w:val="left" w:pos="1134"/>
        </w:tabs>
        <w:spacing w:after="0"/>
        <w:ind w:firstLine="709"/>
        <w:jc w:val="both"/>
        <w:rPr>
          <w:rFonts w:ascii="Times New Roman" w:hAnsi="Times New Roman" w:cs="Times New Roman"/>
          <w:sz w:val="28"/>
          <w:szCs w:val="28"/>
        </w:rPr>
      </w:pPr>
      <w:r w:rsidRPr="00EC20F8">
        <w:rPr>
          <w:rFonts w:ascii="Times New Roman" w:hAnsi="Times New Roman" w:cs="Times New Roman"/>
          <w:sz w:val="28"/>
          <w:szCs w:val="28"/>
        </w:rPr>
        <w:t>-</w:t>
      </w:r>
      <w:r w:rsidRPr="00EC20F8">
        <w:rPr>
          <w:rFonts w:ascii="Times New Roman" w:hAnsi="Times New Roman" w:cs="Times New Roman"/>
          <w:sz w:val="28"/>
          <w:szCs w:val="28"/>
        </w:rPr>
        <w:tab/>
        <w:t xml:space="preserve">3 учреждения культурно-досугового типа: МБУК «Дом культуры и досуга «Апрель»; МБУК «Культурный центр «Русская горница»; </w:t>
      </w:r>
      <w:proofErr w:type="gramStart"/>
      <w:r w:rsidRPr="00EC20F8">
        <w:rPr>
          <w:rFonts w:ascii="Times New Roman" w:hAnsi="Times New Roman" w:cs="Times New Roman"/>
          <w:sz w:val="28"/>
          <w:szCs w:val="28"/>
        </w:rPr>
        <w:t>муниципальное автономное</w:t>
      </w:r>
      <w:proofErr w:type="gramEnd"/>
      <w:r w:rsidRPr="00EC20F8">
        <w:rPr>
          <w:rFonts w:ascii="Times New Roman" w:hAnsi="Times New Roman" w:cs="Times New Roman"/>
          <w:sz w:val="28"/>
          <w:szCs w:val="28"/>
        </w:rPr>
        <w:t xml:space="preserve"> учреждение культуры (далее – МАУК) «Городской Дом культуры «СРВ»; </w:t>
      </w:r>
    </w:p>
    <w:p w:rsidR="000663EB" w:rsidRPr="00EC20F8" w:rsidRDefault="000663EB" w:rsidP="000663EB">
      <w:pPr>
        <w:pStyle w:val="aa"/>
        <w:tabs>
          <w:tab w:val="num" w:pos="720"/>
          <w:tab w:val="left" w:pos="916"/>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sidRPr="00EC20F8">
        <w:rPr>
          <w:rFonts w:ascii="Times New Roman" w:hAnsi="Times New Roman" w:cs="Times New Roman"/>
          <w:sz w:val="28"/>
          <w:szCs w:val="28"/>
        </w:rPr>
        <w:t>-</w:t>
      </w:r>
      <w:r w:rsidRPr="00EC20F8">
        <w:rPr>
          <w:rFonts w:ascii="Times New Roman" w:hAnsi="Times New Roman" w:cs="Times New Roman"/>
          <w:sz w:val="28"/>
          <w:szCs w:val="28"/>
        </w:rPr>
        <w:tab/>
        <w:t>3 обособленных структурных подразделения</w:t>
      </w:r>
      <w:r w:rsidRPr="00EC20F8">
        <w:rPr>
          <w:rFonts w:ascii="Times New Roman" w:hAnsi="Times New Roman" w:cs="Times New Roman"/>
          <w:i/>
          <w:iCs/>
          <w:sz w:val="28"/>
          <w:szCs w:val="28"/>
        </w:rPr>
        <w:t xml:space="preserve"> </w:t>
      </w:r>
      <w:r w:rsidRPr="00EC20F8">
        <w:rPr>
          <w:rFonts w:ascii="Times New Roman" w:hAnsi="Times New Roman" w:cs="Times New Roman"/>
          <w:sz w:val="28"/>
          <w:szCs w:val="28"/>
        </w:rPr>
        <w:t>МАУК «Городской Дом культуры «СРВ»: Дом культуры «Глухих и слабослышащих»; Дом культуры «Заозерный»; Музей Воинской славы города Петропавловска-Камчатского;</w:t>
      </w:r>
    </w:p>
    <w:p w:rsidR="000663EB" w:rsidRPr="00EC20F8" w:rsidRDefault="000663EB" w:rsidP="000663EB">
      <w:pPr>
        <w:pStyle w:val="aa"/>
        <w:tabs>
          <w:tab w:val="left" w:pos="709"/>
          <w:tab w:val="left" w:pos="993"/>
          <w:tab w:val="left" w:pos="1134"/>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sidRPr="00EC20F8">
        <w:rPr>
          <w:rFonts w:ascii="Times New Roman" w:hAnsi="Times New Roman" w:cs="Times New Roman"/>
          <w:sz w:val="28"/>
          <w:szCs w:val="28"/>
        </w:rPr>
        <w:t>-</w:t>
      </w:r>
      <w:r w:rsidRPr="00EC20F8">
        <w:rPr>
          <w:rFonts w:ascii="Times New Roman" w:hAnsi="Times New Roman" w:cs="Times New Roman"/>
          <w:sz w:val="28"/>
          <w:szCs w:val="28"/>
        </w:rPr>
        <w:tab/>
        <w:t>Концертная организация (самостоятельный коллектив) МБУК «Городской оркестр»;</w:t>
      </w:r>
    </w:p>
    <w:p w:rsidR="000663EB" w:rsidRPr="00EC20F8" w:rsidRDefault="000663EB" w:rsidP="000663EB">
      <w:pPr>
        <w:tabs>
          <w:tab w:val="left" w:pos="993"/>
          <w:tab w:val="left" w:pos="1134"/>
        </w:tabs>
        <w:ind w:firstLine="709"/>
        <w:jc w:val="both"/>
        <w:rPr>
          <w:rFonts w:ascii="Times New Roman" w:hAnsi="Times New Roman" w:cs="Times New Roman"/>
          <w:sz w:val="28"/>
          <w:szCs w:val="28"/>
        </w:rPr>
      </w:pPr>
      <w:r w:rsidRPr="00EC20F8">
        <w:rPr>
          <w:rFonts w:ascii="Times New Roman" w:hAnsi="Times New Roman" w:cs="Times New Roman"/>
          <w:sz w:val="28"/>
          <w:szCs w:val="28"/>
        </w:rPr>
        <w:t>-</w:t>
      </w:r>
      <w:r w:rsidRPr="00EC20F8">
        <w:rPr>
          <w:rFonts w:ascii="Times New Roman" w:hAnsi="Times New Roman" w:cs="Times New Roman"/>
          <w:sz w:val="28"/>
          <w:szCs w:val="28"/>
        </w:rPr>
        <w:tab/>
        <w:t>7 муниципальных образовательных учреждений дополнительного образования детей (далее – МБОУ ДОД): МБОУ ДОД «Детская музыкальная школа № 1»; МБОУ ДОД «Детская музыкальная школа № 3»; МБОУ ДОД «Детская музыкальная школа № 4»; МБОУ ДОД «Детская музыкальная школа № 5»; МАОУ ДОД «Детская музыкальная школа № 6»; МАОУ ДОД «Детская музыкальная школа № 7»; МАОУ ДОД «Детская художественная школа».</w:t>
      </w:r>
    </w:p>
    <w:p w:rsidR="000663EB" w:rsidRPr="00EC20F8" w:rsidRDefault="000663EB" w:rsidP="000663EB">
      <w:pPr>
        <w:tabs>
          <w:tab w:val="left" w:pos="993"/>
          <w:tab w:val="left" w:pos="1134"/>
        </w:tabs>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В 2013 году произошли изменения в сети муниципальных учреждений культуры. В мае 2013 года начал работу Музей Воинской Славы, структурное подразделение МАУК «Городской дом культуры «СРВ». </w:t>
      </w:r>
      <w:r w:rsidRPr="00EC20F8">
        <w:rPr>
          <w:rFonts w:ascii="Times New Roman" w:hAnsi="Times New Roman"/>
          <w:sz w:val="28"/>
          <w:szCs w:val="28"/>
        </w:rPr>
        <w:t>Музей Воинской Славы осуществляет организацию музейного обслуживания населения на территории городского округа.</w:t>
      </w:r>
    </w:p>
    <w:p w:rsidR="000663EB" w:rsidRPr="00EC20F8" w:rsidRDefault="000663EB" w:rsidP="000663EB">
      <w:pPr>
        <w:pStyle w:val="af9"/>
        <w:ind w:firstLine="709"/>
        <w:jc w:val="both"/>
        <w:rPr>
          <w:rFonts w:ascii="Times New Roman" w:hAnsi="Times New Roman"/>
          <w:sz w:val="28"/>
          <w:szCs w:val="28"/>
        </w:rPr>
      </w:pPr>
      <w:r w:rsidRPr="00EC20F8">
        <w:rPr>
          <w:rFonts w:ascii="Times New Roman" w:hAnsi="Times New Roman"/>
          <w:sz w:val="28"/>
          <w:szCs w:val="28"/>
        </w:rPr>
        <w:t xml:space="preserve">В течение 2013 года в муниципальных культурно-досуговых учреждениях продолжили свою деятельность 77 клубных формирований, в которых реализовали свои творческие способности 1 973 человека. </w:t>
      </w:r>
    </w:p>
    <w:p w:rsidR="000663EB" w:rsidRPr="00EC20F8" w:rsidRDefault="000663EB" w:rsidP="000663EB">
      <w:pPr>
        <w:pStyle w:val="af3"/>
        <w:ind w:firstLine="709"/>
        <w:jc w:val="both"/>
        <w:rPr>
          <w:rFonts w:ascii="Times New Roman" w:hAnsi="Times New Roman"/>
          <w:sz w:val="28"/>
          <w:szCs w:val="28"/>
        </w:rPr>
      </w:pPr>
      <w:r w:rsidRPr="00EC20F8">
        <w:rPr>
          <w:rFonts w:ascii="Times New Roman" w:hAnsi="Times New Roman"/>
          <w:sz w:val="28"/>
          <w:szCs w:val="28"/>
        </w:rPr>
        <w:t>Всего в 2013 году муниципальными учреждениями культурно-досугового типа подготовлено и проведено 975 мероприятий, число посетителей мероприятий – 255 070 человек. В течение 2013 года Управлением культуры</w:t>
      </w:r>
      <w:r w:rsidRPr="00EC20F8">
        <w:rPr>
          <w:rFonts w:ascii="Times New Roman" w:hAnsi="Times New Roman"/>
          <w:sz w:val="28"/>
          <w:szCs w:val="28"/>
          <w:lang w:eastAsia="ru-RU"/>
        </w:rPr>
        <w:t xml:space="preserve">, </w:t>
      </w:r>
      <w:r w:rsidRPr="00EC20F8">
        <w:rPr>
          <w:rFonts w:ascii="Times New Roman" w:hAnsi="Times New Roman"/>
          <w:sz w:val="28"/>
          <w:szCs w:val="28"/>
        </w:rPr>
        <w:t>совместно с муниципальными учреждениями культуры, проводилась активная работа по патриотическому воспитанию детей и молодежи, а также по организации и проведению государственных, краевых, городских массовых праздников и мероприятий. За первое полугодие 2014 года учреждениями проведено 458 мероприятий с участием 105 358 зрителей.</w:t>
      </w:r>
    </w:p>
    <w:p w:rsidR="000663EB" w:rsidRPr="00EC20F8" w:rsidRDefault="000663EB" w:rsidP="000663EB">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В городе функционирует 6 детских музыкальных и одна художественная школа. На первое полугодие 2014 года общая численность учащихся учреждений составляет 1 573 человек. Общая численность преподавателей составляет 181 человек. Высшую квалификационную категорию имеют 65 % преподавателей, первую категорию – 27 % от общего числа работников. Большинство преподавателей имеют стаж работы свыше 25 лет. </w:t>
      </w:r>
    </w:p>
    <w:p w:rsidR="000663EB" w:rsidRPr="00EC20F8" w:rsidRDefault="000663EB" w:rsidP="000663EB">
      <w:pPr>
        <w:pStyle w:val="af3"/>
        <w:ind w:firstLine="709"/>
        <w:jc w:val="both"/>
        <w:rPr>
          <w:rFonts w:ascii="Times New Roman" w:hAnsi="Times New Roman"/>
          <w:sz w:val="28"/>
          <w:szCs w:val="28"/>
        </w:rPr>
      </w:pPr>
      <w:r w:rsidRPr="00EC20F8">
        <w:rPr>
          <w:rFonts w:ascii="Times New Roman" w:hAnsi="Times New Roman"/>
          <w:sz w:val="28"/>
          <w:szCs w:val="28"/>
        </w:rPr>
        <w:t>Библиотечное обслуживание населения городского округа осуществляет МБУК «Центральная городская библиотека». Имеющаяся в фондах городских библиотек литература не только физически изношена, но и морально устарела. Планомерное обновление фондов позволяет стабилизировать процесс списания книг.</w:t>
      </w:r>
    </w:p>
    <w:p w:rsidR="000663EB" w:rsidRPr="00EC20F8" w:rsidRDefault="000663EB" w:rsidP="000663EB">
      <w:pPr>
        <w:pStyle w:val="af5"/>
        <w:rPr>
          <w:sz w:val="28"/>
          <w:szCs w:val="28"/>
        </w:rPr>
      </w:pPr>
      <w:proofErr w:type="gramStart"/>
      <w:r w:rsidRPr="00EC20F8">
        <w:rPr>
          <w:sz w:val="28"/>
          <w:szCs w:val="28"/>
        </w:rPr>
        <w:t xml:space="preserve">В соответствии с муниципальной долгосрочной целевой программой «Сохранение и развитие культуры в Петропавловск - Камчатском городском округе на 2011-2015 годы» </w:t>
      </w:r>
      <w:r w:rsidR="00550D90" w:rsidRPr="00EC20F8">
        <w:rPr>
          <w:sz w:val="28"/>
          <w:szCs w:val="28"/>
        </w:rPr>
        <w:t xml:space="preserve">в 2013 году </w:t>
      </w:r>
      <w:r w:rsidRPr="00EC20F8">
        <w:rPr>
          <w:sz w:val="28"/>
          <w:szCs w:val="28"/>
        </w:rPr>
        <w:t xml:space="preserve">и муниципальной программой «Создание условий для развития культуры, спорта и молодежной политики администрации Петропавловск-Камчатского городского округа» </w:t>
      </w:r>
      <w:r w:rsidR="00550D90" w:rsidRPr="00EC20F8">
        <w:rPr>
          <w:sz w:val="28"/>
          <w:szCs w:val="28"/>
        </w:rPr>
        <w:t>в</w:t>
      </w:r>
      <w:r w:rsidRPr="00EC20F8">
        <w:rPr>
          <w:sz w:val="28"/>
          <w:szCs w:val="28"/>
        </w:rPr>
        <w:t xml:space="preserve"> первом полугодии 2014 года:</w:t>
      </w:r>
      <w:proofErr w:type="gramEnd"/>
    </w:p>
    <w:p w:rsidR="000663EB" w:rsidRPr="00EC20F8" w:rsidRDefault="000663EB" w:rsidP="001C7891">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выполнена проектно-сметная документация по </w:t>
      </w:r>
      <w:r w:rsidR="00F63E12" w:rsidRPr="00EC20F8">
        <w:rPr>
          <w:rFonts w:ascii="Times New Roman" w:hAnsi="Times New Roman" w:cs="Times New Roman"/>
          <w:sz w:val="28"/>
          <w:szCs w:val="28"/>
        </w:rPr>
        <w:t xml:space="preserve">следующим </w:t>
      </w:r>
      <w:r w:rsidRPr="00EC20F8">
        <w:rPr>
          <w:rFonts w:ascii="Times New Roman" w:hAnsi="Times New Roman" w:cs="Times New Roman"/>
          <w:sz w:val="28"/>
          <w:szCs w:val="28"/>
        </w:rPr>
        <w:t>объект</w:t>
      </w:r>
      <w:r w:rsidR="001C7891" w:rsidRPr="00EC20F8">
        <w:rPr>
          <w:rFonts w:ascii="Times New Roman" w:hAnsi="Times New Roman" w:cs="Times New Roman"/>
          <w:sz w:val="28"/>
          <w:szCs w:val="28"/>
        </w:rPr>
        <w:t>ам:</w:t>
      </w:r>
      <w:r w:rsidRPr="00EC20F8">
        <w:rPr>
          <w:rFonts w:ascii="Times New Roman" w:hAnsi="Times New Roman" w:cs="Times New Roman"/>
          <w:sz w:val="28"/>
          <w:szCs w:val="28"/>
        </w:rPr>
        <w:t xml:space="preserve"> </w:t>
      </w:r>
      <w:proofErr w:type="gramStart"/>
      <w:r w:rsidRPr="00EC20F8">
        <w:rPr>
          <w:rFonts w:ascii="Times New Roman" w:hAnsi="Times New Roman" w:cs="Times New Roman"/>
          <w:sz w:val="28"/>
          <w:szCs w:val="28"/>
        </w:rPr>
        <w:t>«Реконструкция здания муниципального учреждения культуры «Городской дом культуры «СРВ»;</w:t>
      </w:r>
      <w:r w:rsidR="001C7891" w:rsidRPr="00EC20F8">
        <w:rPr>
          <w:rFonts w:ascii="Times New Roman" w:hAnsi="Times New Roman" w:cs="Times New Roman"/>
          <w:sz w:val="28"/>
          <w:szCs w:val="28"/>
        </w:rPr>
        <w:t xml:space="preserve"> </w:t>
      </w:r>
      <w:r w:rsidRPr="00EC20F8">
        <w:rPr>
          <w:rFonts w:ascii="Times New Roman" w:hAnsi="Times New Roman" w:cs="Times New Roman"/>
          <w:bCs/>
          <w:sz w:val="28"/>
          <w:szCs w:val="28"/>
        </w:rPr>
        <w:t>ремонт помещений и коммуникационных сетей в здании по улице Бульвар рыбацкой славы, дом №3 для размещения МБУК «Центральная городская библиотека»;</w:t>
      </w:r>
      <w:r w:rsidR="001C7891" w:rsidRPr="00EC20F8">
        <w:rPr>
          <w:rFonts w:ascii="Times New Roman" w:hAnsi="Times New Roman" w:cs="Times New Roman"/>
          <w:sz w:val="28"/>
          <w:szCs w:val="28"/>
        </w:rPr>
        <w:t xml:space="preserve"> </w:t>
      </w:r>
      <w:r w:rsidRPr="00EC20F8">
        <w:rPr>
          <w:rFonts w:ascii="Times New Roman" w:hAnsi="Times New Roman" w:cs="Times New Roman"/>
          <w:sz w:val="28"/>
          <w:szCs w:val="28"/>
        </w:rPr>
        <w:t>«Капитальный ремонт</w:t>
      </w:r>
      <w:r w:rsidRPr="00EC20F8">
        <w:rPr>
          <w:rFonts w:ascii="Times New Roman" w:hAnsi="Times New Roman" w:cs="Times New Roman"/>
          <w:bCs/>
          <w:sz w:val="28"/>
          <w:szCs w:val="28"/>
        </w:rPr>
        <w:t xml:space="preserve"> помещений и коммуникационных сетей в здании по улице Звездной, дом №</w:t>
      </w:r>
      <w:r w:rsidR="00D31C10" w:rsidRPr="00EC20F8">
        <w:rPr>
          <w:rFonts w:ascii="Times New Roman" w:hAnsi="Times New Roman" w:cs="Times New Roman"/>
          <w:bCs/>
          <w:sz w:val="28"/>
          <w:szCs w:val="28"/>
        </w:rPr>
        <w:t xml:space="preserve"> </w:t>
      </w:r>
      <w:r w:rsidRPr="00EC20F8">
        <w:rPr>
          <w:rFonts w:ascii="Times New Roman" w:hAnsi="Times New Roman" w:cs="Times New Roman"/>
          <w:bCs/>
          <w:sz w:val="28"/>
          <w:szCs w:val="28"/>
        </w:rPr>
        <w:t>26 для размещения МБУК «Дом культуры и досуга «Апрель»;</w:t>
      </w:r>
      <w:proofErr w:type="gramEnd"/>
    </w:p>
    <w:p w:rsidR="000663EB" w:rsidRPr="00EC20F8" w:rsidRDefault="000663EB" w:rsidP="000663EB">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произведены работы по капитальному ремонту помещений Информационно-библиотечного центра (ул. </w:t>
      </w:r>
      <w:proofErr w:type="spellStart"/>
      <w:r w:rsidRPr="00EC20F8">
        <w:rPr>
          <w:rFonts w:ascii="Times New Roman" w:hAnsi="Times New Roman" w:cs="Times New Roman"/>
          <w:sz w:val="28"/>
          <w:szCs w:val="28"/>
        </w:rPr>
        <w:t>Войцешека</w:t>
      </w:r>
      <w:proofErr w:type="spellEnd"/>
      <w:r w:rsidRPr="00EC20F8">
        <w:rPr>
          <w:rFonts w:ascii="Times New Roman" w:hAnsi="Times New Roman" w:cs="Times New Roman"/>
          <w:sz w:val="28"/>
          <w:szCs w:val="28"/>
        </w:rPr>
        <w:t>, 7а);</w:t>
      </w:r>
    </w:p>
    <w:p w:rsidR="000663EB" w:rsidRPr="00EC20F8" w:rsidRDefault="000663EB" w:rsidP="001C7891">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произведены работы по ремонту фасад</w:t>
      </w:r>
      <w:r w:rsidR="001C7891" w:rsidRPr="00EC20F8">
        <w:rPr>
          <w:rFonts w:ascii="Times New Roman" w:hAnsi="Times New Roman" w:cs="Times New Roman"/>
          <w:sz w:val="28"/>
          <w:szCs w:val="28"/>
        </w:rPr>
        <w:t>ов</w:t>
      </w:r>
      <w:r w:rsidRPr="00EC20F8">
        <w:rPr>
          <w:rFonts w:ascii="Times New Roman" w:hAnsi="Times New Roman" w:cs="Times New Roman"/>
          <w:sz w:val="28"/>
          <w:szCs w:val="28"/>
        </w:rPr>
        <w:t xml:space="preserve"> здани</w:t>
      </w:r>
      <w:r w:rsidR="001C7891" w:rsidRPr="00EC20F8">
        <w:rPr>
          <w:rFonts w:ascii="Times New Roman" w:hAnsi="Times New Roman" w:cs="Times New Roman"/>
          <w:sz w:val="28"/>
          <w:szCs w:val="28"/>
        </w:rPr>
        <w:t>й</w:t>
      </w:r>
      <w:r w:rsidRPr="00EC20F8">
        <w:rPr>
          <w:rFonts w:ascii="Times New Roman" w:hAnsi="Times New Roman" w:cs="Times New Roman"/>
          <w:sz w:val="28"/>
          <w:szCs w:val="28"/>
        </w:rPr>
        <w:t xml:space="preserve"> МАОУ ДОД «Д</w:t>
      </w:r>
      <w:r w:rsidR="001C7891" w:rsidRPr="00EC20F8">
        <w:rPr>
          <w:rFonts w:ascii="Times New Roman" w:hAnsi="Times New Roman" w:cs="Times New Roman"/>
          <w:sz w:val="28"/>
          <w:szCs w:val="28"/>
        </w:rPr>
        <w:t xml:space="preserve">етская художественная школа» и </w:t>
      </w:r>
      <w:r w:rsidRPr="00EC20F8">
        <w:rPr>
          <w:rFonts w:ascii="Times New Roman" w:hAnsi="Times New Roman" w:cs="Times New Roman"/>
          <w:sz w:val="28"/>
          <w:szCs w:val="28"/>
        </w:rPr>
        <w:t>МБОУ ДОД «Детская музыкальная школа № 3»;</w:t>
      </w:r>
    </w:p>
    <w:p w:rsidR="000663EB" w:rsidRPr="00EC20F8" w:rsidRDefault="000663EB" w:rsidP="000663EB">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произведены работы по ремонту тамбура и внутренних помещений МБОУ ДОД «Детская музыкальная школа № 1»;</w:t>
      </w:r>
    </w:p>
    <w:p w:rsidR="000663EB" w:rsidRPr="00EC20F8" w:rsidRDefault="000663EB" w:rsidP="000663EB">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проведены специализированные ремонтные работы по сохранени</w:t>
      </w:r>
      <w:r w:rsidR="001C7891" w:rsidRPr="00EC20F8">
        <w:rPr>
          <w:rFonts w:ascii="Times New Roman" w:hAnsi="Times New Roman" w:cs="Times New Roman"/>
          <w:sz w:val="28"/>
          <w:szCs w:val="28"/>
        </w:rPr>
        <w:t>ю объектов культурного наследия</w:t>
      </w:r>
      <w:r w:rsidRPr="00EC20F8">
        <w:rPr>
          <w:rFonts w:ascii="Times New Roman" w:hAnsi="Times New Roman" w:cs="Times New Roman"/>
          <w:sz w:val="28"/>
          <w:szCs w:val="28"/>
        </w:rPr>
        <w:t>;</w:t>
      </w:r>
    </w:p>
    <w:p w:rsidR="000663EB" w:rsidRPr="00EC20F8" w:rsidRDefault="000663EB" w:rsidP="000663EB">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специалист</w:t>
      </w:r>
      <w:r w:rsidR="001C7891" w:rsidRPr="00EC20F8">
        <w:rPr>
          <w:rFonts w:ascii="Times New Roman" w:hAnsi="Times New Roman" w:cs="Times New Roman"/>
          <w:sz w:val="28"/>
          <w:szCs w:val="28"/>
        </w:rPr>
        <w:t>ы</w:t>
      </w:r>
      <w:r w:rsidRPr="00EC20F8">
        <w:rPr>
          <w:rFonts w:ascii="Times New Roman" w:hAnsi="Times New Roman" w:cs="Times New Roman"/>
          <w:sz w:val="28"/>
          <w:szCs w:val="28"/>
        </w:rPr>
        <w:t xml:space="preserve"> муниципальных культурно-досуговых учреждений городского округа </w:t>
      </w:r>
      <w:r w:rsidR="00D31C10" w:rsidRPr="00EC20F8">
        <w:rPr>
          <w:rFonts w:ascii="Times New Roman" w:hAnsi="Times New Roman" w:cs="Times New Roman"/>
          <w:sz w:val="28"/>
          <w:szCs w:val="28"/>
        </w:rPr>
        <w:t xml:space="preserve">и </w:t>
      </w:r>
      <w:r w:rsidR="001C7891" w:rsidRPr="00EC20F8">
        <w:rPr>
          <w:rFonts w:ascii="Times New Roman" w:hAnsi="Times New Roman" w:cs="Times New Roman"/>
          <w:sz w:val="28"/>
          <w:szCs w:val="28"/>
        </w:rPr>
        <w:t>преподаватели детских музыкальных школ прошли курсы повышения квалификации за пределами Камчатского</w:t>
      </w:r>
      <w:r w:rsidR="00F63E12" w:rsidRPr="00EC20F8">
        <w:rPr>
          <w:rFonts w:ascii="Times New Roman" w:hAnsi="Times New Roman" w:cs="Times New Roman"/>
          <w:sz w:val="28"/>
          <w:szCs w:val="28"/>
        </w:rPr>
        <w:t xml:space="preserve"> края</w:t>
      </w:r>
      <w:r w:rsidR="001C7891" w:rsidRPr="00EC20F8">
        <w:rPr>
          <w:rFonts w:ascii="Times New Roman" w:hAnsi="Times New Roman" w:cs="Times New Roman"/>
          <w:sz w:val="28"/>
          <w:szCs w:val="28"/>
        </w:rPr>
        <w:t>;</w:t>
      </w:r>
    </w:p>
    <w:p w:rsidR="000663EB" w:rsidRPr="00EC20F8" w:rsidRDefault="000663EB" w:rsidP="001C7891">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w:t>
      </w:r>
      <w:r w:rsidR="00550D90" w:rsidRPr="00EC20F8">
        <w:rPr>
          <w:rFonts w:ascii="Times New Roman" w:hAnsi="Times New Roman" w:cs="Times New Roman"/>
          <w:sz w:val="28"/>
          <w:szCs w:val="28"/>
        </w:rPr>
        <w:t>обеспечено</w:t>
      </w:r>
      <w:r w:rsidRPr="00EC20F8">
        <w:rPr>
          <w:rFonts w:ascii="Times New Roman" w:hAnsi="Times New Roman" w:cs="Times New Roman"/>
          <w:sz w:val="28"/>
          <w:szCs w:val="28"/>
        </w:rPr>
        <w:t xml:space="preserve"> участи</w:t>
      </w:r>
      <w:r w:rsidR="00550D90" w:rsidRPr="00EC20F8">
        <w:rPr>
          <w:rFonts w:ascii="Times New Roman" w:hAnsi="Times New Roman" w:cs="Times New Roman"/>
          <w:sz w:val="28"/>
          <w:szCs w:val="28"/>
        </w:rPr>
        <w:t>е</w:t>
      </w:r>
      <w:r w:rsidRPr="00EC20F8">
        <w:rPr>
          <w:rFonts w:ascii="Times New Roman" w:hAnsi="Times New Roman" w:cs="Times New Roman"/>
          <w:sz w:val="28"/>
          <w:szCs w:val="28"/>
        </w:rPr>
        <w:t xml:space="preserve"> самодеятельных коллективов </w:t>
      </w:r>
      <w:r w:rsidR="00D31C10" w:rsidRPr="00EC20F8">
        <w:rPr>
          <w:rFonts w:ascii="Times New Roman" w:hAnsi="Times New Roman" w:cs="Times New Roman"/>
          <w:sz w:val="28"/>
          <w:szCs w:val="28"/>
        </w:rPr>
        <w:t xml:space="preserve">и </w:t>
      </w:r>
      <w:r w:rsidR="001C7891" w:rsidRPr="00EC20F8">
        <w:rPr>
          <w:rFonts w:ascii="Times New Roman" w:hAnsi="Times New Roman" w:cs="Times New Roman"/>
          <w:sz w:val="28"/>
          <w:szCs w:val="28"/>
        </w:rPr>
        <w:t>учащихся детских музыкальных школ городского округа в россий</w:t>
      </w:r>
      <w:r w:rsidR="00D31C10" w:rsidRPr="00EC20F8">
        <w:rPr>
          <w:rFonts w:ascii="Times New Roman" w:hAnsi="Times New Roman" w:cs="Times New Roman"/>
          <w:sz w:val="28"/>
          <w:szCs w:val="28"/>
        </w:rPr>
        <w:t>ских и международных конкурсах;</w:t>
      </w:r>
    </w:p>
    <w:p w:rsidR="000663EB" w:rsidRPr="00EC20F8" w:rsidRDefault="000663EB" w:rsidP="001C7891">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w:t>
      </w:r>
      <w:r w:rsidR="00B20AAD" w:rsidRPr="00EC20F8">
        <w:rPr>
          <w:rFonts w:ascii="Times New Roman" w:hAnsi="Times New Roman" w:cs="Times New Roman"/>
          <w:sz w:val="28"/>
          <w:szCs w:val="28"/>
        </w:rPr>
        <w:t>приобретены</w:t>
      </w:r>
      <w:r w:rsidRPr="00EC20F8">
        <w:rPr>
          <w:rFonts w:ascii="Times New Roman" w:hAnsi="Times New Roman" w:cs="Times New Roman"/>
          <w:sz w:val="28"/>
          <w:szCs w:val="28"/>
        </w:rPr>
        <w:t xml:space="preserve"> костюмы</w:t>
      </w:r>
      <w:r w:rsidR="00D31C10" w:rsidRPr="00EC20F8">
        <w:rPr>
          <w:rFonts w:ascii="Times New Roman" w:hAnsi="Times New Roman" w:cs="Times New Roman"/>
          <w:sz w:val="28"/>
          <w:szCs w:val="28"/>
        </w:rPr>
        <w:t xml:space="preserve"> для </w:t>
      </w:r>
      <w:r w:rsidR="001C7891" w:rsidRPr="00EC20F8">
        <w:rPr>
          <w:rFonts w:ascii="Times New Roman" w:hAnsi="Times New Roman" w:cs="Times New Roman"/>
          <w:sz w:val="28"/>
          <w:szCs w:val="28"/>
        </w:rPr>
        <w:t>солистов и участников концертных коллективов;</w:t>
      </w:r>
    </w:p>
    <w:p w:rsidR="000663EB" w:rsidRPr="00EC20F8" w:rsidRDefault="000663EB" w:rsidP="00D31C10">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w:t>
      </w:r>
      <w:r w:rsidR="00D31C10" w:rsidRPr="00EC20F8">
        <w:rPr>
          <w:rFonts w:ascii="Times New Roman" w:hAnsi="Times New Roman" w:cs="Times New Roman"/>
          <w:sz w:val="28"/>
          <w:szCs w:val="28"/>
        </w:rPr>
        <w:t>проведены мероприятия по укреплению материально-технической базы учреждений культуры и искусства городского округа (</w:t>
      </w:r>
      <w:r w:rsidRPr="00EC20F8">
        <w:rPr>
          <w:rFonts w:ascii="Times New Roman" w:hAnsi="Times New Roman" w:cs="Times New Roman"/>
          <w:sz w:val="28"/>
          <w:szCs w:val="28"/>
        </w:rPr>
        <w:t xml:space="preserve">приобретены </w:t>
      </w:r>
      <w:proofErr w:type="spellStart"/>
      <w:r w:rsidRPr="00EC20F8">
        <w:rPr>
          <w:rFonts w:ascii="Times New Roman" w:hAnsi="Times New Roman" w:cs="Times New Roman"/>
          <w:sz w:val="28"/>
          <w:szCs w:val="28"/>
        </w:rPr>
        <w:t>радиомикрофоны</w:t>
      </w:r>
      <w:proofErr w:type="spellEnd"/>
      <w:r w:rsidRPr="00EC20F8">
        <w:rPr>
          <w:rFonts w:ascii="Times New Roman" w:hAnsi="Times New Roman" w:cs="Times New Roman"/>
          <w:sz w:val="28"/>
          <w:szCs w:val="28"/>
        </w:rPr>
        <w:t>, звуковое оборудование</w:t>
      </w:r>
      <w:r w:rsidR="00D31C10" w:rsidRPr="00EC20F8">
        <w:rPr>
          <w:rFonts w:ascii="Times New Roman" w:hAnsi="Times New Roman" w:cs="Times New Roman"/>
          <w:sz w:val="28"/>
          <w:szCs w:val="28"/>
        </w:rPr>
        <w:t>, оргтехника, музыкальные инструменты,</w:t>
      </w:r>
      <w:r w:rsidRPr="00EC20F8">
        <w:rPr>
          <w:rFonts w:ascii="Times New Roman" w:hAnsi="Times New Roman" w:cs="Times New Roman"/>
          <w:sz w:val="28"/>
          <w:szCs w:val="28"/>
        </w:rPr>
        <w:t xml:space="preserve"> </w:t>
      </w:r>
      <w:r w:rsidR="00D31C10" w:rsidRPr="00EC20F8">
        <w:rPr>
          <w:rFonts w:ascii="Times New Roman" w:hAnsi="Times New Roman" w:cs="Times New Roman"/>
          <w:sz w:val="28"/>
          <w:szCs w:val="28"/>
        </w:rPr>
        <w:t>мольберты, планшеты, мебель и т.д.);</w:t>
      </w:r>
    </w:p>
    <w:p w:rsidR="000663EB" w:rsidRPr="00EC20F8" w:rsidRDefault="000663EB" w:rsidP="00D31C10">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продолжена работа по подключению МБУК «Центральная городская библиотека» к </w:t>
      </w:r>
      <w:r w:rsidR="00D31C10" w:rsidRPr="00EC20F8">
        <w:rPr>
          <w:rFonts w:ascii="Times New Roman" w:hAnsi="Times New Roman" w:cs="Times New Roman"/>
          <w:sz w:val="28"/>
          <w:szCs w:val="28"/>
        </w:rPr>
        <w:t xml:space="preserve">локальным сетям передачи данных; </w:t>
      </w:r>
      <w:r w:rsidRPr="00EC20F8">
        <w:rPr>
          <w:rFonts w:ascii="Times New Roman" w:hAnsi="Times New Roman" w:cs="Times New Roman"/>
          <w:sz w:val="28"/>
          <w:szCs w:val="28"/>
        </w:rPr>
        <w:t>приобретено 10 единиц компьютерного оборудования, копировально-множительной</w:t>
      </w:r>
      <w:r w:rsidR="00D31C10" w:rsidRPr="00EC20F8">
        <w:rPr>
          <w:rFonts w:ascii="Times New Roman" w:hAnsi="Times New Roman" w:cs="Times New Roman"/>
          <w:sz w:val="28"/>
          <w:szCs w:val="28"/>
        </w:rPr>
        <w:t>, видео и проекционной</w:t>
      </w:r>
      <w:r w:rsidRPr="00EC20F8">
        <w:rPr>
          <w:rFonts w:ascii="Times New Roman" w:hAnsi="Times New Roman" w:cs="Times New Roman"/>
          <w:sz w:val="28"/>
          <w:szCs w:val="28"/>
        </w:rPr>
        <w:t xml:space="preserve"> техники</w:t>
      </w:r>
      <w:r w:rsidR="00D31C10" w:rsidRPr="00EC20F8">
        <w:rPr>
          <w:rFonts w:ascii="Times New Roman" w:hAnsi="Times New Roman" w:cs="Times New Roman"/>
          <w:sz w:val="28"/>
          <w:szCs w:val="28"/>
        </w:rPr>
        <w:t>,</w:t>
      </w:r>
      <w:r w:rsidRPr="00EC20F8">
        <w:rPr>
          <w:rFonts w:ascii="Times New Roman" w:hAnsi="Times New Roman" w:cs="Times New Roman"/>
          <w:sz w:val="28"/>
          <w:szCs w:val="28"/>
        </w:rPr>
        <w:t xml:space="preserve"> специализированная </w:t>
      </w:r>
      <w:r w:rsidR="00F63E12" w:rsidRPr="00EC20F8">
        <w:rPr>
          <w:rFonts w:ascii="Times New Roman" w:hAnsi="Times New Roman" w:cs="Times New Roman"/>
          <w:sz w:val="28"/>
          <w:szCs w:val="28"/>
        </w:rPr>
        <w:t>мебель, стеллажи, витрины и т.д</w:t>
      </w:r>
      <w:r w:rsidRPr="00EC20F8">
        <w:rPr>
          <w:rFonts w:ascii="Times New Roman" w:hAnsi="Times New Roman" w:cs="Times New Roman"/>
          <w:sz w:val="28"/>
          <w:szCs w:val="28"/>
        </w:rPr>
        <w:t>.</w:t>
      </w:r>
    </w:p>
    <w:p w:rsidR="000663EB" w:rsidRPr="00EC20F8" w:rsidRDefault="000663EB" w:rsidP="000663EB">
      <w:pPr>
        <w:autoSpaceDE w:val="0"/>
        <w:autoSpaceDN w:val="0"/>
        <w:adjustRightInd w:val="0"/>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В 201</w:t>
      </w:r>
      <w:r w:rsidR="00B20AAD" w:rsidRPr="00EC20F8">
        <w:rPr>
          <w:rFonts w:ascii="Times New Roman" w:hAnsi="Times New Roman" w:cs="Times New Roman"/>
          <w:sz w:val="28"/>
          <w:szCs w:val="28"/>
        </w:rPr>
        <w:t>5</w:t>
      </w:r>
      <w:r w:rsidRPr="00EC20F8">
        <w:rPr>
          <w:rFonts w:ascii="Times New Roman" w:hAnsi="Times New Roman" w:cs="Times New Roman"/>
          <w:sz w:val="28"/>
          <w:szCs w:val="28"/>
        </w:rPr>
        <w:t>-201</w:t>
      </w:r>
      <w:r w:rsidR="00B20AAD" w:rsidRPr="00EC20F8">
        <w:rPr>
          <w:rFonts w:ascii="Times New Roman" w:hAnsi="Times New Roman" w:cs="Times New Roman"/>
          <w:sz w:val="28"/>
          <w:szCs w:val="28"/>
        </w:rPr>
        <w:t>7</w:t>
      </w:r>
      <w:r w:rsidRPr="00EC20F8">
        <w:rPr>
          <w:rFonts w:ascii="Times New Roman" w:hAnsi="Times New Roman" w:cs="Times New Roman"/>
          <w:sz w:val="28"/>
          <w:szCs w:val="28"/>
        </w:rPr>
        <w:t xml:space="preserve"> годах основные задачи по развитию культуры, поставленные администрацией Петропавловск-Камчатского городского округа, будут осуществляться в рамках муниципальной программы «Создание условий для развития культуры, спорта и молодежной политики в </w:t>
      </w:r>
      <w:proofErr w:type="spellStart"/>
      <w:r w:rsidRPr="00EC20F8">
        <w:rPr>
          <w:rFonts w:ascii="Times New Roman" w:hAnsi="Times New Roman" w:cs="Times New Roman"/>
          <w:sz w:val="28"/>
          <w:szCs w:val="28"/>
        </w:rPr>
        <w:t>Петропавловск-Камчатском</w:t>
      </w:r>
      <w:proofErr w:type="spellEnd"/>
      <w:r w:rsidRPr="00EC20F8">
        <w:rPr>
          <w:rFonts w:ascii="Times New Roman" w:hAnsi="Times New Roman" w:cs="Times New Roman"/>
          <w:sz w:val="28"/>
          <w:szCs w:val="28"/>
        </w:rPr>
        <w:t xml:space="preserve"> городском округе»</w:t>
      </w:r>
      <w:r w:rsidR="001C2AC9" w:rsidRPr="00EC20F8">
        <w:rPr>
          <w:rFonts w:ascii="Times New Roman" w:hAnsi="Times New Roman" w:cs="Times New Roman"/>
          <w:sz w:val="28"/>
          <w:szCs w:val="28"/>
        </w:rPr>
        <w:t xml:space="preserve"> (подпрограмма 1 «Сохранение и развитие культуры»).</w:t>
      </w:r>
      <w:proofErr w:type="gramEnd"/>
      <w:r w:rsidR="001C2AC9" w:rsidRPr="00EC20F8">
        <w:rPr>
          <w:rFonts w:ascii="Times New Roman" w:hAnsi="Times New Roman" w:cs="Times New Roman"/>
          <w:sz w:val="28"/>
          <w:szCs w:val="28"/>
        </w:rPr>
        <w:t xml:space="preserve"> </w:t>
      </w:r>
      <w:r w:rsidRPr="00EC20F8">
        <w:rPr>
          <w:rFonts w:ascii="Times New Roman" w:hAnsi="Times New Roman" w:cs="Times New Roman"/>
          <w:sz w:val="28"/>
          <w:szCs w:val="28"/>
        </w:rPr>
        <w:t xml:space="preserve"> В среднесрочной перспективе развитие сферы культуры в городском округе будет включать следующие направления: </w:t>
      </w:r>
    </w:p>
    <w:p w:rsidR="000663EB" w:rsidRPr="00EC20F8" w:rsidRDefault="000663EB" w:rsidP="000663EB">
      <w:pPr>
        <w:ind w:firstLine="709"/>
        <w:jc w:val="both"/>
        <w:rPr>
          <w:rFonts w:ascii="Times New Roman" w:hAnsi="Times New Roman" w:cs="Times New Roman"/>
          <w:sz w:val="28"/>
          <w:szCs w:val="28"/>
        </w:rPr>
      </w:pPr>
      <w:r w:rsidRPr="00EC20F8">
        <w:rPr>
          <w:rFonts w:ascii="Times New Roman" w:hAnsi="Times New Roman" w:cs="Times New Roman"/>
          <w:sz w:val="28"/>
          <w:szCs w:val="28"/>
        </w:rPr>
        <w:t>1. Создание условий для развития системы художественно-эстетического образования детей:</w:t>
      </w:r>
    </w:p>
    <w:p w:rsidR="000663EB" w:rsidRPr="00EC20F8" w:rsidRDefault="000663EB" w:rsidP="000663EB">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обеспечение </w:t>
      </w:r>
      <w:proofErr w:type="gramStart"/>
      <w:r w:rsidRPr="00EC20F8">
        <w:rPr>
          <w:rFonts w:ascii="Times New Roman" w:hAnsi="Times New Roman" w:cs="Times New Roman"/>
          <w:sz w:val="28"/>
          <w:szCs w:val="28"/>
        </w:rPr>
        <w:t>участия учащихся муниципальных учреждений дополнительного образования детей</w:t>
      </w:r>
      <w:proofErr w:type="gramEnd"/>
      <w:r w:rsidRPr="00EC20F8">
        <w:rPr>
          <w:rFonts w:ascii="Times New Roman" w:hAnsi="Times New Roman" w:cs="Times New Roman"/>
          <w:sz w:val="28"/>
          <w:szCs w:val="28"/>
        </w:rPr>
        <w:t xml:space="preserve"> в конкурсах, фестивалях, выставках (международных, российских);</w:t>
      </w:r>
    </w:p>
    <w:p w:rsidR="000663EB" w:rsidRPr="00EC20F8" w:rsidRDefault="000663EB" w:rsidP="000663EB">
      <w:pPr>
        <w:ind w:firstLine="709"/>
        <w:jc w:val="both"/>
        <w:rPr>
          <w:rFonts w:ascii="Times New Roman" w:hAnsi="Times New Roman" w:cs="Times New Roman"/>
          <w:sz w:val="28"/>
          <w:szCs w:val="28"/>
        </w:rPr>
      </w:pPr>
      <w:r w:rsidRPr="00EC20F8">
        <w:rPr>
          <w:rFonts w:ascii="Times New Roman" w:hAnsi="Times New Roman" w:cs="Times New Roman"/>
          <w:sz w:val="28"/>
          <w:szCs w:val="28"/>
        </w:rPr>
        <w:t>- оснащение учреждений новыми инструментами, оборудованием, расходными материалами, мебелью;</w:t>
      </w:r>
    </w:p>
    <w:p w:rsidR="000663EB" w:rsidRPr="00EC20F8" w:rsidRDefault="000663EB" w:rsidP="000663EB">
      <w:pPr>
        <w:ind w:firstLine="709"/>
        <w:jc w:val="both"/>
        <w:rPr>
          <w:rFonts w:ascii="Times New Roman" w:hAnsi="Times New Roman" w:cs="Times New Roman"/>
          <w:sz w:val="28"/>
          <w:szCs w:val="28"/>
        </w:rPr>
      </w:pPr>
      <w:r w:rsidRPr="00EC20F8">
        <w:rPr>
          <w:rFonts w:ascii="Times New Roman" w:hAnsi="Times New Roman" w:cs="Times New Roman"/>
          <w:sz w:val="28"/>
          <w:szCs w:val="28"/>
        </w:rPr>
        <w:t>- повышение квалификации преподавателей учреждений;</w:t>
      </w:r>
    </w:p>
    <w:p w:rsidR="000663EB" w:rsidRPr="00EC20F8" w:rsidRDefault="000663EB" w:rsidP="000663EB">
      <w:pPr>
        <w:ind w:firstLine="709"/>
        <w:jc w:val="both"/>
        <w:rPr>
          <w:rFonts w:ascii="Times New Roman" w:hAnsi="Times New Roman" w:cs="Times New Roman"/>
          <w:sz w:val="28"/>
          <w:szCs w:val="28"/>
        </w:rPr>
      </w:pPr>
      <w:r w:rsidRPr="00EC20F8">
        <w:rPr>
          <w:rFonts w:ascii="Times New Roman" w:hAnsi="Times New Roman" w:cs="Times New Roman"/>
          <w:sz w:val="28"/>
          <w:szCs w:val="28"/>
        </w:rPr>
        <w:t>- пошив, приобретение, изготовление реквизита, костюмов, декораций;</w:t>
      </w:r>
    </w:p>
    <w:p w:rsidR="000663EB" w:rsidRPr="00EC20F8" w:rsidRDefault="000663EB" w:rsidP="000663EB">
      <w:pPr>
        <w:ind w:firstLine="709"/>
        <w:jc w:val="both"/>
        <w:rPr>
          <w:rFonts w:ascii="Times New Roman" w:hAnsi="Times New Roman" w:cs="Times New Roman"/>
          <w:sz w:val="28"/>
          <w:szCs w:val="28"/>
        </w:rPr>
      </w:pPr>
      <w:r w:rsidRPr="00EC20F8">
        <w:rPr>
          <w:rFonts w:ascii="Times New Roman" w:hAnsi="Times New Roman" w:cs="Times New Roman"/>
          <w:sz w:val="28"/>
          <w:szCs w:val="28"/>
        </w:rPr>
        <w:t>- повышение квалификации работников учреждений.</w:t>
      </w:r>
    </w:p>
    <w:p w:rsidR="000663EB" w:rsidRPr="00EC20F8" w:rsidRDefault="000663EB" w:rsidP="000663EB">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2. Создание условий для развития духовного потенциала и самодеятельного творчества населения в </w:t>
      </w:r>
      <w:proofErr w:type="gramStart"/>
      <w:r w:rsidRPr="00EC20F8">
        <w:rPr>
          <w:rFonts w:ascii="Times New Roman" w:hAnsi="Times New Roman" w:cs="Times New Roman"/>
          <w:sz w:val="28"/>
          <w:szCs w:val="28"/>
        </w:rPr>
        <w:t>Петропавловск-Камчатском</w:t>
      </w:r>
      <w:proofErr w:type="gramEnd"/>
      <w:r w:rsidRPr="00EC20F8">
        <w:rPr>
          <w:rFonts w:ascii="Times New Roman" w:hAnsi="Times New Roman" w:cs="Times New Roman"/>
          <w:sz w:val="28"/>
          <w:szCs w:val="28"/>
        </w:rPr>
        <w:t xml:space="preserve"> городском округе:</w:t>
      </w:r>
    </w:p>
    <w:p w:rsidR="000663EB" w:rsidRPr="00EC20F8" w:rsidRDefault="000663EB" w:rsidP="000663EB">
      <w:pPr>
        <w:ind w:firstLine="709"/>
        <w:jc w:val="both"/>
        <w:rPr>
          <w:rFonts w:ascii="Times New Roman" w:hAnsi="Times New Roman" w:cs="Times New Roman"/>
          <w:sz w:val="28"/>
          <w:szCs w:val="28"/>
        </w:rPr>
      </w:pPr>
      <w:r w:rsidRPr="00EC20F8">
        <w:rPr>
          <w:rFonts w:ascii="Times New Roman" w:hAnsi="Times New Roman" w:cs="Times New Roman"/>
          <w:sz w:val="28"/>
          <w:szCs w:val="28"/>
        </w:rPr>
        <w:t>- организация участия самодеятельных коллективов в конкурсах, фестивалях, выставках</w:t>
      </w:r>
      <w:r w:rsidR="00D31C10" w:rsidRPr="00EC20F8">
        <w:rPr>
          <w:rFonts w:ascii="Times New Roman" w:hAnsi="Times New Roman" w:cs="Times New Roman"/>
          <w:sz w:val="28"/>
          <w:szCs w:val="28"/>
        </w:rPr>
        <w:t xml:space="preserve"> (международных, российских);</w:t>
      </w:r>
    </w:p>
    <w:p w:rsidR="000663EB" w:rsidRPr="00EC20F8" w:rsidRDefault="000663EB" w:rsidP="000663EB">
      <w:pPr>
        <w:ind w:firstLine="709"/>
        <w:jc w:val="both"/>
        <w:rPr>
          <w:rFonts w:ascii="Times New Roman" w:hAnsi="Times New Roman" w:cs="Times New Roman"/>
          <w:sz w:val="28"/>
          <w:szCs w:val="28"/>
        </w:rPr>
      </w:pPr>
      <w:r w:rsidRPr="00EC20F8">
        <w:rPr>
          <w:rFonts w:ascii="Times New Roman" w:hAnsi="Times New Roman" w:cs="Times New Roman"/>
          <w:sz w:val="28"/>
          <w:szCs w:val="28"/>
        </w:rPr>
        <w:t>- оснащение учреждений сценическим оборудованием, мебелью, аппаратурой, оргтехникой.</w:t>
      </w:r>
    </w:p>
    <w:p w:rsidR="000663EB" w:rsidRPr="00EC20F8" w:rsidRDefault="000663EB" w:rsidP="000663EB">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3. Обеспечение условий для развития библиотечного обслуживания на территории </w:t>
      </w:r>
      <w:proofErr w:type="gramStart"/>
      <w:r w:rsidRPr="00EC20F8">
        <w:rPr>
          <w:rFonts w:ascii="Times New Roman" w:hAnsi="Times New Roman" w:cs="Times New Roman"/>
          <w:sz w:val="28"/>
          <w:szCs w:val="28"/>
        </w:rPr>
        <w:t>Петропавловск-Камчатского</w:t>
      </w:r>
      <w:proofErr w:type="gramEnd"/>
      <w:r w:rsidRPr="00EC20F8">
        <w:rPr>
          <w:rFonts w:ascii="Times New Roman" w:hAnsi="Times New Roman" w:cs="Times New Roman"/>
          <w:sz w:val="28"/>
          <w:szCs w:val="28"/>
        </w:rPr>
        <w:t xml:space="preserve"> городского округа:</w:t>
      </w:r>
    </w:p>
    <w:p w:rsidR="000663EB" w:rsidRPr="00EC20F8" w:rsidRDefault="000663EB" w:rsidP="000663EB">
      <w:pPr>
        <w:ind w:firstLine="709"/>
        <w:jc w:val="both"/>
        <w:rPr>
          <w:rFonts w:ascii="Times New Roman" w:hAnsi="Times New Roman" w:cs="Times New Roman"/>
          <w:sz w:val="28"/>
          <w:szCs w:val="28"/>
        </w:rPr>
      </w:pPr>
      <w:r w:rsidRPr="00EC20F8">
        <w:rPr>
          <w:rFonts w:ascii="Times New Roman" w:hAnsi="Times New Roman" w:cs="Times New Roman"/>
          <w:sz w:val="28"/>
          <w:szCs w:val="28"/>
        </w:rPr>
        <w:t>- техническое обеспечение муниципальных библиотек (приобретение оргтехники, мебели, в т.ч. специализированной, видео и проекционной техники);</w:t>
      </w:r>
    </w:p>
    <w:p w:rsidR="000663EB" w:rsidRPr="00EC20F8" w:rsidRDefault="000663EB" w:rsidP="000663EB">
      <w:pPr>
        <w:ind w:firstLine="709"/>
        <w:jc w:val="both"/>
        <w:rPr>
          <w:rFonts w:ascii="Times New Roman" w:hAnsi="Times New Roman" w:cs="Times New Roman"/>
          <w:sz w:val="28"/>
          <w:szCs w:val="28"/>
        </w:rPr>
      </w:pPr>
      <w:r w:rsidRPr="00EC20F8">
        <w:rPr>
          <w:rFonts w:ascii="Times New Roman" w:hAnsi="Times New Roman" w:cs="Times New Roman"/>
          <w:sz w:val="28"/>
          <w:szCs w:val="28"/>
        </w:rPr>
        <w:t>- создание информационно-технологической инфраструктуры муниципальных библиотек (подключение и обеспечение широкополосного доступа к сети Интернет, приобретение компьютерной техники и программного обеспечения);</w:t>
      </w:r>
    </w:p>
    <w:p w:rsidR="000663EB" w:rsidRPr="00EC20F8" w:rsidRDefault="000663EB" w:rsidP="000663EB">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повышение </w:t>
      </w:r>
      <w:proofErr w:type="gramStart"/>
      <w:r w:rsidRPr="00EC20F8">
        <w:rPr>
          <w:rFonts w:ascii="Times New Roman" w:hAnsi="Times New Roman" w:cs="Times New Roman"/>
          <w:sz w:val="28"/>
          <w:szCs w:val="28"/>
        </w:rPr>
        <w:t>уровня квалификации работников муниципальных библиотек</w:t>
      </w:r>
      <w:proofErr w:type="gramEnd"/>
      <w:r w:rsidRPr="00EC20F8">
        <w:rPr>
          <w:rFonts w:ascii="Times New Roman" w:hAnsi="Times New Roman" w:cs="Times New Roman"/>
          <w:sz w:val="28"/>
          <w:szCs w:val="28"/>
        </w:rPr>
        <w:t>.</w:t>
      </w:r>
    </w:p>
    <w:p w:rsidR="000663EB" w:rsidRPr="00EC20F8" w:rsidRDefault="000663EB" w:rsidP="000663EB">
      <w:pPr>
        <w:tabs>
          <w:tab w:val="left" w:pos="3086"/>
        </w:tabs>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4. Обеспечение сохранения объектов историко-культурного наследия на территории </w:t>
      </w:r>
      <w:proofErr w:type="gramStart"/>
      <w:r w:rsidRPr="00EC20F8">
        <w:rPr>
          <w:rFonts w:ascii="Times New Roman" w:hAnsi="Times New Roman" w:cs="Times New Roman"/>
          <w:sz w:val="28"/>
          <w:szCs w:val="28"/>
        </w:rPr>
        <w:t>Петропавловск-Камчатского</w:t>
      </w:r>
      <w:proofErr w:type="gramEnd"/>
      <w:r w:rsidRPr="00EC20F8">
        <w:rPr>
          <w:rFonts w:ascii="Times New Roman" w:hAnsi="Times New Roman" w:cs="Times New Roman"/>
          <w:sz w:val="28"/>
          <w:szCs w:val="28"/>
        </w:rPr>
        <w:t xml:space="preserve"> городского округа:</w:t>
      </w:r>
    </w:p>
    <w:p w:rsidR="000663EB" w:rsidRPr="00EC20F8" w:rsidRDefault="000663EB" w:rsidP="000663EB">
      <w:pPr>
        <w:tabs>
          <w:tab w:val="left" w:pos="3086"/>
        </w:tabs>
        <w:ind w:firstLine="709"/>
        <w:jc w:val="both"/>
        <w:rPr>
          <w:rFonts w:ascii="Times New Roman" w:hAnsi="Times New Roman" w:cs="Times New Roman"/>
          <w:sz w:val="28"/>
          <w:szCs w:val="28"/>
        </w:rPr>
      </w:pPr>
      <w:r w:rsidRPr="00EC20F8">
        <w:rPr>
          <w:rFonts w:ascii="Times New Roman" w:hAnsi="Times New Roman" w:cs="Times New Roman"/>
          <w:sz w:val="28"/>
          <w:szCs w:val="28"/>
        </w:rPr>
        <w:t>- проведение специализированных (очистных) и ремонтных работ по сохранению объектов культурного наследия федерального и регионального значения и прилегающей к ним территории;</w:t>
      </w:r>
    </w:p>
    <w:p w:rsidR="000663EB" w:rsidRPr="00EC20F8" w:rsidRDefault="000663EB" w:rsidP="000663EB">
      <w:pPr>
        <w:tabs>
          <w:tab w:val="left" w:pos="3086"/>
        </w:tabs>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проведение ремонтно-реставрационных работ на объектах культурного наследия, находящихся на территории </w:t>
      </w:r>
      <w:proofErr w:type="gramStart"/>
      <w:r w:rsidRPr="00EC20F8">
        <w:rPr>
          <w:rFonts w:ascii="Times New Roman" w:hAnsi="Times New Roman" w:cs="Times New Roman"/>
          <w:sz w:val="28"/>
          <w:szCs w:val="28"/>
        </w:rPr>
        <w:t>Петропавловск-Камчатского</w:t>
      </w:r>
      <w:proofErr w:type="gramEnd"/>
      <w:r w:rsidRPr="00EC20F8">
        <w:rPr>
          <w:rFonts w:ascii="Times New Roman" w:hAnsi="Times New Roman" w:cs="Times New Roman"/>
          <w:sz w:val="28"/>
          <w:szCs w:val="28"/>
        </w:rPr>
        <w:t xml:space="preserve"> городского округа и на прилегающей к ним территории.</w:t>
      </w:r>
    </w:p>
    <w:p w:rsidR="000663EB" w:rsidRPr="00EC20F8" w:rsidRDefault="000663EB" w:rsidP="000663EB">
      <w:pPr>
        <w:tabs>
          <w:tab w:val="left" w:pos="3086"/>
        </w:tabs>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5. Обеспечение </w:t>
      </w:r>
      <w:proofErr w:type="gramStart"/>
      <w:r w:rsidRPr="00EC20F8">
        <w:rPr>
          <w:rFonts w:ascii="Times New Roman" w:hAnsi="Times New Roman" w:cs="Times New Roman"/>
          <w:sz w:val="28"/>
          <w:szCs w:val="28"/>
        </w:rPr>
        <w:t>условий сохранения муниципальных учреждений культуры</w:t>
      </w:r>
      <w:proofErr w:type="gramEnd"/>
      <w:r w:rsidRPr="00EC20F8">
        <w:rPr>
          <w:rFonts w:ascii="Times New Roman" w:hAnsi="Times New Roman" w:cs="Times New Roman"/>
          <w:sz w:val="28"/>
          <w:szCs w:val="28"/>
        </w:rPr>
        <w:t>:</w:t>
      </w:r>
    </w:p>
    <w:p w:rsidR="000663EB" w:rsidRPr="00EC20F8" w:rsidRDefault="000663EB" w:rsidP="000663EB">
      <w:pPr>
        <w:tabs>
          <w:tab w:val="left" w:pos="3086"/>
        </w:tabs>
        <w:ind w:firstLine="709"/>
        <w:jc w:val="both"/>
        <w:rPr>
          <w:rFonts w:ascii="Times New Roman" w:hAnsi="Times New Roman" w:cs="Times New Roman"/>
          <w:sz w:val="28"/>
          <w:szCs w:val="28"/>
        </w:rPr>
      </w:pPr>
      <w:r w:rsidRPr="00EC20F8">
        <w:rPr>
          <w:rFonts w:ascii="Times New Roman" w:hAnsi="Times New Roman" w:cs="Times New Roman"/>
          <w:sz w:val="28"/>
          <w:szCs w:val="28"/>
        </w:rPr>
        <w:t>- реконструкция здания муниципального учреждения культуры «Городской дом культуры «СРВ»;</w:t>
      </w:r>
    </w:p>
    <w:p w:rsidR="000663EB" w:rsidRPr="00EC20F8" w:rsidRDefault="000663EB" w:rsidP="000663EB">
      <w:pPr>
        <w:tabs>
          <w:tab w:val="left" w:pos="3086"/>
        </w:tabs>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w:t>
      </w:r>
      <w:r w:rsidRPr="00EC20F8">
        <w:rPr>
          <w:rFonts w:ascii="Times New Roman" w:hAnsi="Times New Roman" w:cs="Times New Roman"/>
          <w:bCs/>
          <w:sz w:val="28"/>
          <w:szCs w:val="28"/>
        </w:rPr>
        <w:t>капитальный ремонт помещений и коммуникационных сетей в здании по улице Бульвар рыбацкой славы, дом №3 для размещения МБУК «Центральная городская библиотека»;</w:t>
      </w:r>
    </w:p>
    <w:p w:rsidR="000663EB" w:rsidRPr="00EC20F8" w:rsidRDefault="000663EB" w:rsidP="000663EB">
      <w:pPr>
        <w:tabs>
          <w:tab w:val="left" w:pos="3086"/>
        </w:tabs>
        <w:ind w:firstLine="709"/>
        <w:jc w:val="both"/>
        <w:rPr>
          <w:rFonts w:ascii="Times New Roman" w:hAnsi="Times New Roman" w:cs="Times New Roman"/>
          <w:bCs/>
          <w:sz w:val="28"/>
          <w:szCs w:val="28"/>
        </w:rPr>
      </w:pPr>
      <w:r w:rsidRPr="00EC20F8">
        <w:rPr>
          <w:rFonts w:ascii="Times New Roman" w:hAnsi="Times New Roman" w:cs="Times New Roman"/>
          <w:sz w:val="28"/>
          <w:szCs w:val="28"/>
        </w:rPr>
        <w:t>- капитальный ремонт</w:t>
      </w:r>
      <w:r w:rsidRPr="00EC20F8">
        <w:rPr>
          <w:rFonts w:ascii="Times New Roman" w:hAnsi="Times New Roman" w:cs="Times New Roman"/>
          <w:bCs/>
          <w:sz w:val="28"/>
          <w:szCs w:val="28"/>
        </w:rPr>
        <w:t xml:space="preserve"> помещений и коммуникационных сетей в здании по улице Звездной, дом № 26 для размещения МБУК «Дом культуры и досуга «Апрель»;</w:t>
      </w:r>
    </w:p>
    <w:p w:rsidR="000663EB" w:rsidRPr="00EC20F8" w:rsidRDefault="000663EB" w:rsidP="000663EB">
      <w:pPr>
        <w:ind w:firstLine="709"/>
        <w:jc w:val="both"/>
        <w:rPr>
          <w:rFonts w:ascii="Times New Roman" w:hAnsi="Times New Roman" w:cs="Times New Roman"/>
          <w:b/>
          <w:sz w:val="28"/>
          <w:szCs w:val="28"/>
        </w:rPr>
      </w:pPr>
      <w:r w:rsidRPr="00EC20F8">
        <w:rPr>
          <w:rFonts w:ascii="Times New Roman" w:hAnsi="Times New Roman" w:cs="Times New Roman"/>
          <w:sz w:val="28"/>
          <w:szCs w:val="28"/>
        </w:rPr>
        <w:t>- проведение работ по ремонту муниципальных учреждений культуры (внутренних помещений, сетей, фасадов, залов).</w:t>
      </w:r>
    </w:p>
    <w:p w:rsidR="000663EB" w:rsidRPr="00EC20F8" w:rsidRDefault="000663EB" w:rsidP="000663EB">
      <w:pPr>
        <w:ind w:firstLine="709"/>
        <w:jc w:val="both"/>
        <w:rPr>
          <w:rFonts w:ascii="Times New Roman" w:hAnsi="Times New Roman" w:cs="Times New Roman"/>
          <w:sz w:val="28"/>
          <w:szCs w:val="28"/>
        </w:rPr>
      </w:pPr>
    </w:p>
    <w:p w:rsidR="000663EB" w:rsidRPr="00EC20F8" w:rsidRDefault="000663EB" w:rsidP="000663EB">
      <w:pPr>
        <w:pStyle w:val="1"/>
        <w:ind w:firstLine="709"/>
      </w:pPr>
      <w:bookmarkStart w:id="99" w:name="_Toc368930215"/>
      <w:bookmarkStart w:id="100" w:name="_Toc368930839"/>
      <w:bookmarkStart w:id="101" w:name="_Toc368988898"/>
      <w:bookmarkStart w:id="102" w:name="_Toc400529677"/>
      <w:r w:rsidRPr="00EC20F8">
        <w:t>14. Физическая культура и спорт</w:t>
      </w:r>
      <w:bookmarkEnd w:id="99"/>
      <w:bookmarkEnd w:id="100"/>
      <w:bookmarkEnd w:id="101"/>
      <w:bookmarkEnd w:id="102"/>
    </w:p>
    <w:p w:rsidR="000663EB" w:rsidRPr="00EC20F8" w:rsidRDefault="000663EB" w:rsidP="000663EB">
      <w:pPr>
        <w:autoSpaceDE w:val="0"/>
        <w:autoSpaceDN w:val="0"/>
        <w:adjustRightInd w:val="0"/>
        <w:spacing w:line="240" w:lineRule="auto"/>
        <w:ind w:firstLine="709"/>
        <w:jc w:val="both"/>
        <w:rPr>
          <w:rFonts w:ascii="Times New Roman" w:hAnsi="Times New Roman" w:cs="Times New Roman"/>
        </w:rPr>
      </w:pPr>
    </w:p>
    <w:p w:rsidR="000663EB" w:rsidRPr="00EC20F8" w:rsidRDefault="000663EB" w:rsidP="000663EB">
      <w:pPr>
        <w:autoSpaceDE w:val="0"/>
        <w:autoSpaceDN w:val="0"/>
        <w:adjustRightInd w:val="0"/>
        <w:spacing w:line="240" w:lineRule="auto"/>
        <w:ind w:firstLine="709"/>
        <w:jc w:val="both"/>
        <w:rPr>
          <w:rFonts w:ascii="Times New Roman" w:hAnsi="Times New Roman" w:cs="Times New Roman"/>
          <w:sz w:val="28"/>
          <w:szCs w:val="28"/>
        </w:rPr>
      </w:pPr>
      <w:bookmarkStart w:id="103" w:name="_Toc368930216"/>
      <w:bookmarkStart w:id="104" w:name="_Toc368930840"/>
      <w:bookmarkStart w:id="105" w:name="_Toc368988899"/>
      <w:r w:rsidRPr="00EC20F8">
        <w:rPr>
          <w:rFonts w:ascii="Times New Roman" w:hAnsi="Times New Roman" w:cs="Times New Roman"/>
          <w:sz w:val="28"/>
          <w:szCs w:val="28"/>
        </w:rPr>
        <w:t xml:space="preserve">Обеспечение условий для развития физической культуры и массового спорта, организация проведения официальных физкультурно-оздоровительных и спортивных мероприятий являются вопросами местного значения, отнесенными к компетенции органов местного самоуправления городских округов. </w:t>
      </w:r>
    </w:p>
    <w:p w:rsidR="000663EB" w:rsidRPr="00EC20F8" w:rsidRDefault="000663EB" w:rsidP="000663EB">
      <w:pPr>
        <w:autoSpaceDE w:val="0"/>
        <w:autoSpaceDN w:val="0"/>
        <w:adjustRightInd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Основными направлениями политики городского округа в сфере физкультуры и спорта являются:</w:t>
      </w:r>
    </w:p>
    <w:p w:rsidR="000663EB" w:rsidRPr="00EC20F8" w:rsidRDefault="000663EB" w:rsidP="000663EB">
      <w:pPr>
        <w:autoSpaceDE w:val="0"/>
        <w:autoSpaceDN w:val="0"/>
        <w:adjustRightInd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w:t>
      </w:r>
      <w:r w:rsidRPr="00EC20F8">
        <w:rPr>
          <w:rFonts w:ascii="Times New Roman" w:hAnsi="Times New Roman" w:cs="Times New Roman"/>
          <w:sz w:val="28"/>
          <w:szCs w:val="28"/>
        </w:rPr>
        <w:tab/>
        <w:t>вовлечение населения городского округа в активные занятия физической культурой и спортом;</w:t>
      </w:r>
    </w:p>
    <w:p w:rsidR="000663EB" w:rsidRPr="00EC20F8" w:rsidRDefault="000663EB" w:rsidP="000663EB">
      <w:pPr>
        <w:autoSpaceDE w:val="0"/>
        <w:autoSpaceDN w:val="0"/>
        <w:adjustRightInd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w:t>
      </w:r>
      <w:r w:rsidRPr="00EC20F8">
        <w:rPr>
          <w:rFonts w:ascii="Times New Roman" w:hAnsi="Times New Roman" w:cs="Times New Roman"/>
          <w:sz w:val="28"/>
          <w:szCs w:val="28"/>
        </w:rPr>
        <w:tab/>
        <w:t>содействие развитию инфраструктуры для занятий массовым спортом;</w:t>
      </w:r>
    </w:p>
    <w:p w:rsidR="000663EB" w:rsidRPr="00EC20F8" w:rsidRDefault="000663EB" w:rsidP="000663EB">
      <w:pPr>
        <w:autoSpaceDE w:val="0"/>
        <w:autoSpaceDN w:val="0"/>
        <w:adjustRightInd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w:t>
      </w:r>
      <w:r w:rsidRPr="00EC20F8">
        <w:rPr>
          <w:rFonts w:ascii="Times New Roman" w:hAnsi="Times New Roman" w:cs="Times New Roman"/>
          <w:sz w:val="28"/>
          <w:szCs w:val="28"/>
        </w:rPr>
        <w:tab/>
        <w:t>содействие развитию детско-юношеского спорта, подготовка спортивного резерва, участие в соревнованиях более высокого уровня;</w:t>
      </w:r>
    </w:p>
    <w:p w:rsidR="000663EB" w:rsidRPr="00EC20F8" w:rsidRDefault="000663EB" w:rsidP="000663EB">
      <w:pPr>
        <w:autoSpaceDE w:val="0"/>
        <w:autoSpaceDN w:val="0"/>
        <w:adjustRightInd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w:t>
      </w:r>
      <w:r w:rsidRPr="00EC20F8">
        <w:rPr>
          <w:rFonts w:ascii="Times New Roman" w:hAnsi="Times New Roman" w:cs="Times New Roman"/>
          <w:sz w:val="28"/>
          <w:szCs w:val="28"/>
        </w:rPr>
        <w:tab/>
        <w:t>развитие системы доступности для занятий физической культурой и спортом лиц с ограниченными возможностями и инвалидов.</w:t>
      </w:r>
    </w:p>
    <w:p w:rsidR="000663EB" w:rsidRPr="00EC20F8" w:rsidRDefault="000663EB" w:rsidP="000663EB">
      <w:pPr>
        <w:autoSpaceDE w:val="0"/>
        <w:autoSpaceDN w:val="0"/>
        <w:adjustRightInd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Сфера физической культуры и спорта в городском округе имеет положительную динамику основных показателей. В 2013 году увеличился удельный вес населения, систематически занимающегося физической культурой и спортом, составив 18,29 % населения всего городского округа (в 2012 году – 16,3 %.). Достигнутый показатель сложился в результате расширения услуг в сфере физической культуры и спорта, строительства спортивных объектов, активизации массовой спортивно-оздоровительной работы. По оценке, в 2014 году данный показатель достигнет 18,40 %.</w:t>
      </w:r>
    </w:p>
    <w:p w:rsidR="000663EB" w:rsidRPr="00EC20F8" w:rsidRDefault="000663EB" w:rsidP="000663EB">
      <w:pPr>
        <w:pStyle w:val="a3"/>
        <w:spacing w:line="240" w:lineRule="auto"/>
        <w:ind w:left="0" w:firstLine="709"/>
        <w:jc w:val="both"/>
        <w:rPr>
          <w:rFonts w:ascii="Times New Roman" w:hAnsi="Times New Roman" w:cs="Times New Roman"/>
          <w:sz w:val="28"/>
          <w:szCs w:val="28"/>
        </w:rPr>
      </w:pPr>
      <w:r w:rsidRPr="00EC20F8">
        <w:rPr>
          <w:rFonts w:ascii="Times New Roman" w:hAnsi="Times New Roman" w:cs="Times New Roman"/>
          <w:sz w:val="28"/>
          <w:szCs w:val="28"/>
        </w:rPr>
        <w:t>В 2013 году проведен</w:t>
      </w:r>
      <w:r w:rsidR="00D31C10" w:rsidRPr="00EC20F8">
        <w:rPr>
          <w:rFonts w:ascii="Times New Roman" w:hAnsi="Times New Roman" w:cs="Times New Roman"/>
          <w:sz w:val="28"/>
          <w:szCs w:val="28"/>
        </w:rPr>
        <w:t>о</w:t>
      </w:r>
      <w:r w:rsidRPr="00EC20F8">
        <w:rPr>
          <w:rFonts w:ascii="Times New Roman" w:hAnsi="Times New Roman" w:cs="Times New Roman"/>
          <w:sz w:val="28"/>
          <w:szCs w:val="28"/>
        </w:rPr>
        <w:t xml:space="preserve"> 130 спортивных мероприятий, в том числе </w:t>
      </w:r>
      <w:proofErr w:type="gramStart"/>
      <w:r w:rsidRPr="00EC20F8">
        <w:rPr>
          <w:rFonts w:ascii="Times New Roman" w:hAnsi="Times New Roman" w:cs="Times New Roman"/>
          <w:sz w:val="28"/>
          <w:szCs w:val="28"/>
        </w:rPr>
        <w:t>массовые физкультурно-спортивные</w:t>
      </w:r>
      <w:proofErr w:type="gramEnd"/>
      <w:r w:rsidRPr="00EC20F8">
        <w:rPr>
          <w:rFonts w:ascii="Times New Roman" w:hAnsi="Times New Roman" w:cs="Times New Roman"/>
          <w:sz w:val="28"/>
          <w:szCs w:val="28"/>
        </w:rPr>
        <w:t xml:space="preserve"> мероприятия и соревнования по видам спорта совместно с федерациями. </w:t>
      </w:r>
    </w:p>
    <w:p w:rsidR="000663EB" w:rsidRPr="00EC20F8" w:rsidRDefault="000663EB" w:rsidP="000663EB">
      <w:pPr>
        <w:pStyle w:val="a3"/>
        <w:spacing w:line="240" w:lineRule="auto"/>
        <w:ind w:left="0"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Наиболее яркие спортивные события в 2013 году: участие в организации массовых общероссийских мероприятий, проводимых на территории городского округа: «Лыжня России», «Кросс наций»; проведение городских </w:t>
      </w:r>
      <w:proofErr w:type="gramStart"/>
      <w:r w:rsidRPr="00EC20F8">
        <w:rPr>
          <w:rFonts w:ascii="Times New Roman" w:hAnsi="Times New Roman" w:cs="Times New Roman"/>
          <w:sz w:val="28"/>
          <w:szCs w:val="28"/>
        </w:rPr>
        <w:t>массовых спортивных</w:t>
      </w:r>
      <w:proofErr w:type="gramEnd"/>
      <w:r w:rsidRPr="00EC20F8">
        <w:rPr>
          <w:rFonts w:ascii="Times New Roman" w:hAnsi="Times New Roman" w:cs="Times New Roman"/>
          <w:sz w:val="28"/>
          <w:szCs w:val="28"/>
        </w:rPr>
        <w:t xml:space="preserve"> мероприятий, таких как спартакиада трудящихся, «Молодежный экстрим» - соревнования по сноуборду 7 января, «</w:t>
      </w:r>
      <w:proofErr w:type="spellStart"/>
      <w:r w:rsidRPr="00EC20F8">
        <w:rPr>
          <w:rFonts w:ascii="Times New Roman" w:hAnsi="Times New Roman" w:cs="Times New Roman"/>
          <w:sz w:val="28"/>
          <w:szCs w:val="28"/>
        </w:rPr>
        <w:t>Джип-триал</w:t>
      </w:r>
      <w:proofErr w:type="spellEnd"/>
      <w:r w:rsidRPr="00EC20F8">
        <w:rPr>
          <w:rFonts w:ascii="Times New Roman" w:hAnsi="Times New Roman" w:cs="Times New Roman"/>
          <w:sz w:val="28"/>
          <w:szCs w:val="28"/>
        </w:rPr>
        <w:t>», Камчатская лыжня, спортивные программы в рамках «Дня молодежи».</w:t>
      </w:r>
    </w:p>
    <w:p w:rsidR="000663EB" w:rsidRPr="00EC20F8" w:rsidRDefault="000663EB" w:rsidP="000663EB">
      <w:pPr>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В рамках развития детско-юношеского спорта и совершенствования условий подготовки спортивного резерва Департаментом социального развития администрации Петропавловск-Камчатского городского округа обеспечивается исполнение программных мероприятий по восстановлению и строительству спортивных площадок общеобразовательных учреждений городского округа.</w:t>
      </w:r>
      <w:proofErr w:type="gramEnd"/>
    </w:p>
    <w:p w:rsidR="000663EB" w:rsidRPr="00EC20F8" w:rsidRDefault="000663EB" w:rsidP="000663EB">
      <w:pPr>
        <w:ind w:firstLine="709"/>
        <w:jc w:val="both"/>
        <w:rPr>
          <w:rFonts w:ascii="Times New Roman" w:eastAsia="Calibri" w:hAnsi="Times New Roman" w:cs="Times New Roman"/>
          <w:sz w:val="28"/>
          <w:szCs w:val="28"/>
        </w:rPr>
      </w:pPr>
      <w:proofErr w:type="gramStart"/>
      <w:r w:rsidRPr="00EC20F8">
        <w:rPr>
          <w:rFonts w:ascii="Times New Roman" w:eastAsia="Calibri" w:hAnsi="Times New Roman" w:cs="Times New Roman"/>
          <w:sz w:val="28"/>
          <w:szCs w:val="28"/>
        </w:rPr>
        <w:t xml:space="preserve">В 2013 году в рамках реализации долгосрочной краевой целевой программы «Развитие физической культуры и спорта в Камчатском крае на 2011-2015 годы» </w:t>
      </w:r>
      <w:r w:rsidRPr="00EC20F8">
        <w:rPr>
          <w:rFonts w:ascii="Times New Roman" w:hAnsi="Times New Roman" w:cs="Times New Roman"/>
          <w:sz w:val="28"/>
          <w:szCs w:val="28"/>
        </w:rPr>
        <w:t>з</w:t>
      </w:r>
      <w:r w:rsidRPr="00EC20F8">
        <w:rPr>
          <w:rFonts w:ascii="Times New Roman" w:eastAsia="Calibri" w:hAnsi="Times New Roman" w:cs="Times New Roman"/>
          <w:sz w:val="28"/>
          <w:szCs w:val="28"/>
        </w:rPr>
        <w:t>авершены проектные работы и получено положительное заключение по объекту «Здание горнолыжной базы «Красная сопка», начато строительство здания горнолыжной базы «Красная сопка», ввод в эксплуатацию объекта запланирован на ноябрь 2014 года.</w:t>
      </w:r>
      <w:proofErr w:type="gramEnd"/>
      <w:r w:rsidRPr="00EC20F8">
        <w:rPr>
          <w:rFonts w:ascii="Times New Roman" w:eastAsia="Calibri" w:hAnsi="Times New Roman" w:cs="Times New Roman"/>
          <w:sz w:val="28"/>
          <w:szCs w:val="28"/>
        </w:rPr>
        <w:t xml:space="preserve"> Завершены проектные работы по строительству бугельной канатной дороги, установлена автоматизированная система контроля доступа и приобретены лицензии на использование программ для системы доступа. Завершены проектные работы по строительству горнолыжной базы «Эдельвейс».</w:t>
      </w:r>
    </w:p>
    <w:p w:rsidR="000663EB" w:rsidRPr="00EC20F8" w:rsidRDefault="000663EB" w:rsidP="000663EB">
      <w:pPr>
        <w:ind w:firstLine="710"/>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xml:space="preserve">Продолжилось совершенствование инфраструктуры биатлонного комплекса - обустройство электроосвещения и асфальтобетонного покрытия на </w:t>
      </w:r>
      <w:proofErr w:type="spellStart"/>
      <w:r w:rsidRPr="00EC20F8">
        <w:rPr>
          <w:rFonts w:ascii="Times New Roman" w:eastAsia="Calibri" w:hAnsi="Times New Roman" w:cs="Times New Roman"/>
          <w:sz w:val="28"/>
          <w:szCs w:val="28"/>
        </w:rPr>
        <w:t>лыжероллерной</w:t>
      </w:r>
      <w:proofErr w:type="spellEnd"/>
      <w:r w:rsidRPr="00EC20F8">
        <w:rPr>
          <w:rFonts w:ascii="Times New Roman" w:eastAsia="Calibri" w:hAnsi="Times New Roman" w:cs="Times New Roman"/>
          <w:sz w:val="28"/>
          <w:szCs w:val="28"/>
        </w:rPr>
        <w:t xml:space="preserve"> трассе и биатлонном стадионе. </w:t>
      </w:r>
      <w:proofErr w:type="gramStart"/>
      <w:r w:rsidRPr="00EC20F8">
        <w:rPr>
          <w:rFonts w:ascii="Times New Roman" w:eastAsia="Calibri" w:hAnsi="Times New Roman" w:cs="Times New Roman"/>
          <w:sz w:val="28"/>
          <w:szCs w:val="28"/>
        </w:rPr>
        <w:t xml:space="preserve">Установлены </w:t>
      </w:r>
      <w:proofErr w:type="spellStart"/>
      <w:r w:rsidRPr="00EC20F8">
        <w:rPr>
          <w:rFonts w:ascii="Times New Roman" w:eastAsia="Calibri" w:hAnsi="Times New Roman" w:cs="Times New Roman"/>
          <w:sz w:val="28"/>
          <w:szCs w:val="28"/>
        </w:rPr>
        <w:t>высокомачтовые</w:t>
      </w:r>
      <w:proofErr w:type="spellEnd"/>
      <w:r w:rsidRPr="00EC20F8">
        <w:rPr>
          <w:rFonts w:ascii="Times New Roman" w:eastAsia="Calibri" w:hAnsi="Times New Roman" w:cs="Times New Roman"/>
          <w:sz w:val="28"/>
          <w:szCs w:val="28"/>
        </w:rPr>
        <w:t xml:space="preserve"> опоры освещения, строительные монтажные работы (устройство трубопроводов, прокладка кабелей), работы по вертикальной планировке биатлонного стадиона, по проездам и площадкам (разработка и уплотнение грунта, засыпка траншей, устройство дренажей) под асфальтирование лыжных трасс.</w:t>
      </w:r>
      <w:proofErr w:type="gramEnd"/>
    </w:p>
    <w:p w:rsidR="007B255B" w:rsidRPr="00EC20F8" w:rsidRDefault="007B255B" w:rsidP="007B255B">
      <w:pPr>
        <w:spacing w:line="240" w:lineRule="auto"/>
        <w:ind w:firstLine="709"/>
        <w:jc w:val="both"/>
        <w:rPr>
          <w:rFonts w:ascii="Times New Roman" w:hAnsi="Times New Roman" w:cs="Times New Roman"/>
          <w:i/>
          <w:sz w:val="28"/>
          <w:szCs w:val="28"/>
        </w:rPr>
      </w:pPr>
      <w:r w:rsidRPr="00EC20F8">
        <w:rPr>
          <w:rFonts w:ascii="Times New Roman" w:hAnsi="Times New Roman" w:cs="Times New Roman"/>
          <w:sz w:val="28"/>
          <w:szCs w:val="28"/>
        </w:rPr>
        <w:t xml:space="preserve">В целях создания условий для развития массового спорта и физкультурно-оздоровительного движения в 2014 году реализуется муниципальная программа «Создание условий для развития культуры, спорта и молодежной политики в </w:t>
      </w:r>
      <w:proofErr w:type="spellStart"/>
      <w:proofErr w:type="gramStart"/>
      <w:r w:rsidRPr="00EC20F8">
        <w:rPr>
          <w:rFonts w:ascii="Times New Roman" w:hAnsi="Times New Roman" w:cs="Times New Roman"/>
          <w:sz w:val="28"/>
          <w:szCs w:val="28"/>
        </w:rPr>
        <w:t>Петропавловск-Камчатском</w:t>
      </w:r>
      <w:proofErr w:type="spellEnd"/>
      <w:proofErr w:type="gramEnd"/>
      <w:r w:rsidRPr="00EC20F8">
        <w:rPr>
          <w:rFonts w:ascii="Times New Roman" w:hAnsi="Times New Roman" w:cs="Times New Roman"/>
          <w:sz w:val="28"/>
          <w:szCs w:val="28"/>
        </w:rPr>
        <w:t xml:space="preserve"> городском округе». Основные направления работы и задачи в сфере физической культуры и спорта в рамках программы:</w:t>
      </w:r>
    </w:p>
    <w:p w:rsidR="007B255B" w:rsidRPr="00EC20F8" w:rsidRDefault="007B255B" w:rsidP="007B255B">
      <w:pPr>
        <w:tabs>
          <w:tab w:val="left" w:pos="515"/>
          <w:tab w:val="left" w:pos="993"/>
        </w:tabs>
        <w:spacing w:line="240" w:lineRule="auto"/>
        <w:ind w:firstLine="709"/>
        <w:jc w:val="both"/>
        <w:rPr>
          <w:rFonts w:ascii="Times New Roman" w:hAnsi="Times New Roman" w:cs="Times New Roman"/>
          <w:sz w:val="28"/>
          <w:szCs w:val="28"/>
        </w:rPr>
      </w:pPr>
      <w:r w:rsidRPr="00EC20F8">
        <w:rPr>
          <w:rFonts w:ascii="Times New Roman" w:hAnsi="Times New Roman" w:cs="Times New Roman"/>
          <w:i/>
          <w:sz w:val="28"/>
          <w:szCs w:val="28"/>
        </w:rPr>
        <w:t xml:space="preserve">- </w:t>
      </w:r>
      <w:r w:rsidRPr="00EC20F8">
        <w:rPr>
          <w:rFonts w:ascii="Times New Roman" w:hAnsi="Times New Roman" w:cs="Times New Roman"/>
          <w:sz w:val="28"/>
          <w:szCs w:val="28"/>
        </w:rPr>
        <w:t>популяризация здорового образа жизни и привлечение жителей к занятиям физической культурой и спортом;</w:t>
      </w:r>
    </w:p>
    <w:p w:rsidR="007B255B" w:rsidRPr="00EC20F8" w:rsidRDefault="007B255B" w:rsidP="007B255B">
      <w:pPr>
        <w:tabs>
          <w:tab w:val="left" w:pos="515"/>
          <w:tab w:val="left" w:pos="993"/>
        </w:tabs>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формирование нравственного и физического здоровья детей и молодежи, пропаганда здорового образа жизни, вовлечение в систематические занятия физической культурой и спортом;</w:t>
      </w:r>
    </w:p>
    <w:p w:rsidR="007B255B" w:rsidRPr="00EC20F8" w:rsidRDefault="007B255B" w:rsidP="007B255B">
      <w:pPr>
        <w:tabs>
          <w:tab w:val="left" w:pos="515"/>
          <w:tab w:val="left" w:pos="993"/>
          <w:tab w:val="left" w:pos="1080"/>
        </w:tabs>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обеспечение организации и проведения спортивных мероприятий на территории городского округа. </w:t>
      </w:r>
    </w:p>
    <w:p w:rsidR="000663EB" w:rsidRPr="00EC20F8" w:rsidRDefault="000663EB" w:rsidP="000663EB">
      <w:pPr>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В 2015-2017 годах планируется продолжение комплексной работы в рамках реализации мероприятий подпрограмм, предусмотренных муниципальной программой «Создание условий для развития культуры, спорта и молодежной политики в </w:t>
      </w:r>
      <w:proofErr w:type="spellStart"/>
      <w:r w:rsidRPr="00EC20F8">
        <w:rPr>
          <w:rFonts w:ascii="Times New Roman" w:hAnsi="Times New Roman" w:cs="Times New Roman"/>
          <w:sz w:val="28"/>
          <w:szCs w:val="28"/>
        </w:rPr>
        <w:t>Петропавловск-Камчатском</w:t>
      </w:r>
      <w:proofErr w:type="spellEnd"/>
      <w:r w:rsidRPr="00EC20F8">
        <w:rPr>
          <w:rFonts w:ascii="Times New Roman" w:hAnsi="Times New Roman" w:cs="Times New Roman"/>
          <w:sz w:val="28"/>
          <w:szCs w:val="28"/>
        </w:rPr>
        <w:t xml:space="preserve"> городском округе»</w:t>
      </w:r>
      <w:r w:rsidR="001C2AC9" w:rsidRPr="00EC20F8">
        <w:rPr>
          <w:rFonts w:ascii="Times New Roman" w:hAnsi="Times New Roman" w:cs="Times New Roman"/>
          <w:sz w:val="28"/>
          <w:szCs w:val="28"/>
        </w:rPr>
        <w:t xml:space="preserve"> (подпрограмма 3 «Развитие физической культуры и спорта в </w:t>
      </w:r>
      <w:proofErr w:type="spellStart"/>
      <w:r w:rsidR="001C2AC9" w:rsidRPr="00EC20F8">
        <w:rPr>
          <w:rFonts w:ascii="Times New Roman" w:hAnsi="Times New Roman" w:cs="Times New Roman"/>
          <w:sz w:val="28"/>
          <w:szCs w:val="28"/>
        </w:rPr>
        <w:t>Петропавловск-Камчатском</w:t>
      </w:r>
      <w:proofErr w:type="spellEnd"/>
      <w:r w:rsidR="001C2AC9" w:rsidRPr="00EC20F8">
        <w:rPr>
          <w:rFonts w:ascii="Times New Roman" w:hAnsi="Times New Roman" w:cs="Times New Roman"/>
          <w:sz w:val="28"/>
          <w:szCs w:val="28"/>
        </w:rPr>
        <w:t xml:space="preserve"> городском округе»).</w:t>
      </w:r>
      <w:proofErr w:type="gramEnd"/>
    </w:p>
    <w:p w:rsidR="000663EB" w:rsidRPr="00EC20F8" w:rsidRDefault="000663EB" w:rsidP="000663EB">
      <w:pPr>
        <w:ind w:firstLine="709"/>
        <w:jc w:val="both"/>
        <w:rPr>
          <w:rFonts w:ascii="Times New Roman" w:hAnsi="Times New Roman" w:cs="Times New Roman"/>
          <w:sz w:val="28"/>
          <w:szCs w:val="28"/>
        </w:rPr>
      </w:pPr>
      <w:proofErr w:type="gramStart"/>
      <w:r w:rsidRPr="00EC20F8">
        <w:rPr>
          <w:rFonts w:ascii="Times New Roman" w:eastAsia="Calibri" w:hAnsi="Times New Roman" w:cs="Times New Roman"/>
          <w:sz w:val="28"/>
          <w:szCs w:val="28"/>
        </w:rPr>
        <w:t xml:space="preserve">В результате исполнения мероприятия </w:t>
      </w:r>
      <w:r w:rsidRPr="00EC20F8">
        <w:rPr>
          <w:rFonts w:ascii="Times New Roman" w:hAnsi="Times New Roman" w:cs="Times New Roman"/>
          <w:sz w:val="28"/>
          <w:szCs w:val="28"/>
        </w:rPr>
        <w:t xml:space="preserve">муниципальной программы </w:t>
      </w:r>
      <w:r w:rsidRPr="00EC20F8">
        <w:rPr>
          <w:rFonts w:ascii="Times New Roman" w:eastAsia="Calibri" w:hAnsi="Times New Roman" w:cs="Times New Roman"/>
          <w:sz w:val="28"/>
          <w:szCs w:val="28"/>
        </w:rPr>
        <w:t>прогнозируется повышение информированности жителей городского округа об организуемых администрацией Петропавловск-Камчатского городского округа спортивных мероприятиях, повышение у населения городского округа стимула к ведению здорового образа жизни, увеличение количества жителей городского округа, вовлеченных в занятия физической культурой и спортом, реализация общественных инициатив в области спорта и поддержка спортивных федераций</w:t>
      </w:r>
      <w:r w:rsidRPr="00EC20F8">
        <w:rPr>
          <w:rFonts w:ascii="Times New Roman" w:hAnsi="Times New Roman" w:cs="Times New Roman"/>
          <w:sz w:val="28"/>
          <w:szCs w:val="28"/>
        </w:rPr>
        <w:t>.</w:t>
      </w:r>
      <w:proofErr w:type="gramEnd"/>
    </w:p>
    <w:p w:rsidR="000663EB" w:rsidRPr="00EC20F8" w:rsidRDefault="000663EB" w:rsidP="000663EB">
      <w:pPr>
        <w:tabs>
          <w:tab w:val="num" w:pos="0"/>
        </w:tabs>
        <w:ind w:firstLine="709"/>
        <w:jc w:val="both"/>
        <w:rPr>
          <w:rFonts w:ascii="Times New Roman" w:hAnsi="Times New Roman" w:cs="Times New Roman"/>
          <w:sz w:val="28"/>
          <w:szCs w:val="28"/>
        </w:rPr>
      </w:pPr>
      <w:r w:rsidRPr="00EC20F8">
        <w:rPr>
          <w:rFonts w:ascii="Times New Roman" w:hAnsi="Times New Roman" w:cs="Times New Roman"/>
          <w:sz w:val="28"/>
          <w:szCs w:val="28"/>
        </w:rPr>
        <w:t>В целях создания условий для развития массового спорта и физкультурно-оздоровительного движения на территории городского округа планируется реализовывать мероприятия по следующим направлениям:</w:t>
      </w:r>
    </w:p>
    <w:p w:rsidR="000663EB" w:rsidRPr="00EC20F8" w:rsidRDefault="000663EB" w:rsidP="000663EB">
      <w:pPr>
        <w:tabs>
          <w:tab w:val="num" w:pos="0"/>
          <w:tab w:val="left" w:pos="1134"/>
        </w:tabs>
        <w:ind w:firstLine="709"/>
        <w:jc w:val="both"/>
        <w:rPr>
          <w:rFonts w:ascii="Times New Roman" w:hAnsi="Times New Roman" w:cs="Times New Roman"/>
          <w:sz w:val="28"/>
          <w:szCs w:val="28"/>
        </w:rPr>
      </w:pPr>
      <w:r w:rsidRPr="00EC20F8">
        <w:rPr>
          <w:rFonts w:ascii="Times New Roman" w:hAnsi="Times New Roman" w:cs="Times New Roman"/>
          <w:sz w:val="28"/>
          <w:szCs w:val="28"/>
        </w:rPr>
        <w:t>-</w:t>
      </w:r>
      <w:r w:rsidRPr="00EC20F8">
        <w:rPr>
          <w:rFonts w:ascii="Times New Roman" w:hAnsi="Times New Roman" w:cs="Times New Roman"/>
          <w:sz w:val="28"/>
          <w:szCs w:val="28"/>
        </w:rPr>
        <w:tab/>
        <w:t>популяризация здорового образа жизни и привлечение жителей к занятиям физической культурой и спортом;</w:t>
      </w:r>
    </w:p>
    <w:p w:rsidR="000663EB" w:rsidRPr="00EC20F8" w:rsidRDefault="000663EB" w:rsidP="000663EB">
      <w:pPr>
        <w:tabs>
          <w:tab w:val="num" w:pos="0"/>
          <w:tab w:val="left" w:pos="1134"/>
        </w:tabs>
        <w:ind w:firstLine="709"/>
        <w:jc w:val="both"/>
        <w:rPr>
          <w:rFonts w:ascii="Times New Roman" w:hAnsi="Times New Roman" w:cs="Times New Roman"/>
          <w:sz w:val="28"/>
          <w:szCs w:val="28"/>
        </w:rPr>
      </w:pPr>
      <w:r w:rsidRPr="00EC20F8">
        <w:rPr>
          <w:rFonts w:ascii="Times New Roman" w:hAnsi="Times New Roman" w:cs="Times New Roman"/>
          <w:sz w:val="28"/>
          <w:szCs w:val="28"/>
        </w:rPr>
        <w:t>-</w:t>
      </w:r>
      <w:r w:rsidRPr="00EC20F8">
        <w:rPr>
          <w:rFonts w:ascii="Times New Roman" w:hAnsi="Times New Roman" w:cs="Times New Roman"/>
          <w:sz w:val="28"/>
          <w:szCs w:val="28"/>
        </w:rPr>
        <w:tab/>
        <w:t>формирование нравственного и физического здоровья детей и молодежи, пропаганда здорового образа жизни, вовлечение в систематические занятия физической культурой и спортом;</w:t>
      </w:r>
    </w:p>
    <w:p w:rsidR="000663EB" w:rsidRPr="00EC20F8" w:rsidRDefault="000663EB" w:rsidP="000663EB">
      <w:pPr>
        <w:tabs>
          <w:tab w:val="num" w:pos="0"/>
          <w:tab w:val="left" w:pos="1134"/>
        </w:tabs>
        <w:ind w:firstLine="709"/>
        <w:jc w:val="both"/>
        <w:rPr>
          <w:rFonts w:ascii="Times New Roman" w:hAnsi="Times New Roman" w:cs="Times New Roman"/>
          <w:sz w:val="28"/>
          <w:szCs w:val="28"/>
        </w:rPr>
      </w:pPr>
      <w:r w:rsidRPr="00EC20F8">
        <w:rPr>
          <w:rFonts w:ascii="Times New Roman" w:hAnsi="Times New Roman" w:cs="Times New Roman"/>
          <w:sz w:val="28"/>
          <w:szCs w:val="28"/>
        </w:rPr>
        <w:t>-</w:t>
      </w:r>
      <w:r w:rsidRPr="00EC20F8">
        <w:rPr>
          <w:rFonts w:ascii="Times New Roman" w:hAnsi="Times New Roman" w:cs="Times New Roman"/>
          <w:sz w:val="28"/>
          <w:szCs w:val="28"/>
        </w:rPr>
        <w:tab/>
        <w:t>создание равных условий для занятий физической культурой и спортом всех категорий населения городского округа;</w:t>
      </w:r>
    </w:p>
    <w:p w:rsidR="000663EB" w:rsidRPr="00EC20F8" w:rsidRDefault="000663EB" w:rsidP="000663EB">
      <w:pPr>
        <w:tabs>
          <w:tab w:val="num" w:pos="0"/>
          <w:tab w:val="left" w:pos="1134"/>
        </w:tabs>
        <w:ind w:firstLine="709"/>
        <w:jc w:val="both"/>
        <w:rPr>
          <w:rFonts w:ascii="Times New Roman" w:hAnsi="Times New Roman" w:cs="Times New Roman"/>
          <w:sz w:val="28"/>
          <w:szCs w:val="28"/>
        </w:rPr>
      </w:pPr>
      <w:r w:rsidRPr="00EC20F8">
        <w:rPr>
          <w:rFonts w:ascii="Times New Roman" w:hAnsi="Times New Roman" w:cs="Times New Roman"/>
          <w:sz w:val="28"/>
          <w:szCs w:val="28"/>
        </w:rPr>
        <w:t>-</w:t>
      </w:r>
      <w:r w:rsidRPr="00EC20F8">
        <w:rPr>
          <w:rFonts w:ascii="Times New Roman" w:hAnsi="Times New Roman" w:cs="Times New Roman"/>
          <w:sz w:val="28"/>
          <w:szCs w:val="28"/>
        </w:rPr>
        <w:tab/>
        <w:t>создание условий для систематических занятий физической культурой и спортом на территории городского округа.</w:t>
      </w:r>
    </w:p>
    <w:p w:rsidR="000663EB" w:rsidRPr="00EC20F8" w:rsidRDefault="000663EB" w:rsidP="000663EB">
      <w:pPr>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В рамках мероприятий по развитию спортивной инфраструктуры планируется восстановление, реконструкция и строительство спортивных площадок, в соответствии с перечнем спортивных объектов, имеющих готовую проектно-сметную документацию; реконструкция спортивных залов, в том числе образовательных учреждений; заливка катков, хоккейных кортов.</w:t>
      </w:r>
      <w:proofErr w:type="gramEnd"/>
    </w:p>
    <w:p w:rsidR="000663EB" w:rsidRPr="00EC20F8" w:rsidRDefault="000663EB" w:rsidP="000663EB">
      <w:pPr>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В целях создания равных условий для занятий физической культурой и спортом всех категорий населения городского округа планируется оборудование мест для занятий физической культурой и спортом для лиц с ограниченными возможностями здоровья и инвалидов, организация и проведение физкультурно-спортивных мероприятий для лиц с ограниченными возможностями здоровья и инвалидов.</w:t>
      </w:r>
      <w:proofErr w:type="gramEnd"/>
    </w:p>
    <w:p w:rsidR="000663EB" w:rsidRPr="00EC20F8" w:rsidRDefault="000663EB" w:rsidP="000663EB">
      <w:pPr>
        <w:ind w:firstLine="709"/>
        <w:jc w:val="both"/>
        <w:rPr>
          <w:rFonts w:ascii="Times New Roman" w:hAnsi="Times New Roman" w:cs="Times New Roman"/>
          <w:sz w:val="28"/>
          <w:szCs w:val="28"/>
        </w:rPr>
      </w:pPr>
      <w:r w:rsidRPr="00EC20F8">
        <w:rPr>
          <w:rFonts w:ascii="Times New Roman" w:hAnsi="Times New Roman" w:cs="Times New Roman"/>
          <w:sz w:val="28"/>
          <w:szCs w:val="28"/>
        </w:rPr>
        <w:t>Будет оказываться содействие спортивным клубам, образовательным учреждениям в проведении физкультурно-спортивных мероприятий, а также спортивным клубам и федерациям в подготовке членов сборных команд городского округа для участия в спортивных соревнованиях различного уровня.</w:t>
      </w:r>
    </w:p>
    <w:p w:rsidR="000663EB" w:rsidRPr="00EC20F8" w:rsidRDefault="000663EB" w:rsidP="000663EB">
      <w:pPr>
        <w:autoSpaceDE w:val="0"/>
        <w:autoSpaceDN w:val="0"/>
        <w:adjustRightInd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Планируется также продолжить работу по повышению квалификации работников и проведению детско-юношеских </w:t>
      </w:r>
      <w:proofErr w:type="gramStart"/>
      <w:r w:rsidRPr="00EC20F8">
        <w:rPr>
          <w:rFonts w:ascii="Times New Roman" w:hAnsi="Times New Roman" w:cs="Times New Roman"/>
          <w:sz w:val="28"/>
          <w:szCs w:val="28"/>
        </w:rPr>
        <w:t>муниципальных физкультурно-спортивных</w:t>
      </w:r>
      <w:proofErr w:type="gramEnd"/>
      <w:r w:rsidRPr="00EC20F8">
        <w:rPr>
          <w:rFonts w:ascii="Times New Roman" w:hAnsi="Times New Roman" w:cs="Times New Roman"/>
          <w:sz w:val="28"/>
          <w:szCs w:val="28"/>
        </w:rPr>
        <w:t xml:space="preserve"> мероприятий и этапов всероссийских и краевых соревнований, в том числе «Мини-футбол в школу», «Золотая шайба», «Кожаный мяч», «Лыжня России», «Спартакиада трудящихся».</w:t>
      </w:r>
    </w:p>
    <w:p w:rsidR="000663EB" w:rsidRPr="00EC20F8" w:rsidRDefault="000663EB" w:rsidP="000663EB">
      <w:pPr>
        <w:ind w:firstLine="709"/>
        <w:jc w:val="both"/>
        <w:rPr>
          <w:rFonts w:ascii="Times New Roman" w:hAnsi="Times New Roman" w:cs="Times New Roman"/>
          <w:sz w:val="28"/>
          <w:szCs w:val="28"/>
        </w:rPr>
      </w:pPr>
      <w:r w:rsidRPr="00EC20F8">
        <w:rPr>
          <w:rFonts w:ascii="Times New Roman" w:hAnsi="Times New Roman" w:cs="Times New Roman"/>
          <w:sz w:val="28"/>
          <w:szCs w:val="28"/>
        </w:rPr>
        <w:t>Развитию физической культуры и спорта в городском округе будет способствовать реализация масштабных планов Правительства Камчатского края по созданию и реконструкции спортивных объектов, в первую очередь стадиона «Спартак», а также мероприятия по реконструкции горнолыжных баз «Эдельвейс», «Красная сопка» и «Центральная».</w:t>
      </w:r>
    </w:p>
    <w:p w:rsidR="00CB61DE" w:rsidRPr="00EC20F8" w:rsidRDefault="00CB61DE" w:rsidP="000663EB">
      <w:pPr>
        <w:ind w:firstLine="709"/>
        <w:jc w:val="both"/>
        <w:rPr>
          <w:rFonts w:ascii="Times New Roman" w:hAnsi="Times New Roman" w:cs="Times New Roman"/>
          <w:sz w:val="28"/>
          <w:szCs w:val="28"/>
        </w:rPr>
      </w:pPr>
    </w:p>
    <w:p w:rsidR="00CB61DE" w:rsidRPr="00EC20F8" w:rsidRDefault="00CB61DE" w:rsidP="000663EB">
      <w:pPr>
        <w:ind w:firstLine="709"/>
        <w:jc w:val="both"/>
        <w:rPr>
          <w:rFonts w:ascii="Times New Roman" w:hAnsi="Times New Roman" w:cs="Times New Roman"/>
          <w:sz w:val="28"/>
          <w:szCs w:val="28"/>
        </w:rPr>
      </w:pPr>
    </w:p>
    <w:p w:rsidR="000223DC" w:rsidRPr="00EC20F8" w:rsidRDefault="000223DC" w:rsidP="000663EB">
      <w:pPr>
        <w:pStyle w:val="1"/>
        <w:ind w:firstLine="709"/>
      </w:pPr>
      <w:bookmarkStart w:id="106" w:name="_Toc400529678"/>
    </w:p>
    <w:p w:rsidR="000663EB" w:rsidRPr="00EC20F8" w:rsidRDefault="000663EB" w:rsidP="000663EB">
      <w:pPr>
        <w:pStyle w:val="1"/>
        <w:ind w:firstLine="709"/>
      </w:pPr>
      <w:r w:rsidRPr="00EC20F8">
        <w:t>15. Молодежная политика</w:t>
      </w:r>
      <w:bookmarkEnd w:id="103"/>
      <w:bookmarkEnd w:id="104"/>
      <w:bookmarkEnd w:id="105"/>
      <w:bookmarkEnd w:id="106"/>
    </w:p>
    <w:p w:rsidR="000663EB" w:rsidRPr="00EC20F8" w:rsidRDefault="000663EB" w:rsidP="000663EB">
      <w:pPr>
        <w:spacing w:line="240" w:lineRule="auto"/>
        <w:ind w:firstLine="709"/>
        <w:jc w:val="both"/>
        <w:rPr>
          <w:rFonts w:ascii="Times New Roman" w:hAnsi="Times New Roman" w:cs="Times New Roman"/>
        </w:rPr>
      </w:pPr>
    </w:p>
    <w:p w:rsidR="000663EB" w:rsidRPr="00EC20F8" w:rsidRDefault="000663EB" w:rsidP="000663EB">
      <w:pPr>
        <w:tabs>
          <w:tab w:val="left" w:pos="993"/>
        </w:tabs>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Основными инструментами реализации молодежной политики на территории городского округа являются:</w:t>
      </w:r>
    </w:p>
    <w:p w:rsidR="000663EB" w:rsidRPr="00EC20F8" w:rsidRDefault="000663EB" w:rsidP="000663EB">
      <w:pPr>
        <w:tabs>
          <w:tab w:val="left" w:pos="993"/>
        </w:tabs>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подпрограмма «Молодежь </w:t>
      </w:r>
      <w:proofErr w:type="gramStart"/>
      <w:r w:rsidRPr="00EC20F8">
        <w:rPr>
          <w:rFonts w:ascii="Times New Roman" w:hAnsi="Times New Roman" w:cs="Times New Roman"/>
          <w:sz w:val="28"/>
          <w:szCs w:val="28"/>
        </w:rPr>
        <w:t>Петропавловск-Камчатского</w:t>
      </w:r>
      <w:proofErr w:type="gramEnd"/>
      <w:r w:rsidRPr="00EC20F8">
        <w:rPr>
          <w:rFonts w:ascii="Times New Roman" w:hAnsi="Times New Roman" w:cs="Times New Roman"/>
          <w:sz w:val="28"/>
          <w:szCs w:val="28"/>
        </w:rPr>
        <w:t xml:space="preserve"> городского округа» муниципальной программы «Создание условий для развития культуры, спорта и молодежной политики в Петропавловск-Камчатском городском округе»;</w:t>
      </w:r>
    </w:p>
    <w:p w:rsidR="000663EB" w:rsidRPr="00EC20F8" w:rsidRDefault="000663EB" w:rsidP="000663EB">
      <w:pPr>
        <w:tabs>
          <w:tab w:val="left" w:pos="993"/>
        </w:tabs>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подпрограмма «Временное трудоустройство и содействие занятости молодежи» муниципальной программы «Создание условий для развития культуры, спорта и молодежной политики в Петропавловск-Камчатском городском округе»;</w:t>
      </w:r>
      <w:proofErr w:type="gramEnd"/>
    </w:p>
    <w:p w:rsidR="000663EB" w:rsidRPr="00EC20F8" w:rsidRDefault="000663EB" w:rsidP="000663EB">
      <w:pPr>
        <w:tabs>
          <w:tab w:val="left" w:pos="993"/>
        </w:tabs>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подпрограмма «Обеспечение жильем молодых семей в </w:t>
      </w:r>
      <w:proofErr w:type="gramStart"/>
      <w:r w:rsidRPr="00EC20F8">
        <w:rPr>
          <w:rFonts w:ascii="Times New Roman" w:hAnsi="Times New Roman" w:cs="Times New Roman"/>
          <w:sz w:val="28"/>
          <w:szCs w:val="28"/>
        </w:rPr>
        <w:t>Петропавловск-Камчатском</w:t>
      </w:r>
      <w:proofErr w:type="gramEnd"/>
      <w:r w:rsidRPr="00EC20F8">
        <w:rPr>
          <w:rFonts w:ascii="Times New Roman" w:hAnsi="Times New Roman" w:cs="Times New Roman"/>
          <w:sz w:val="28"/>
          <w:szCs w:val="28"/>
        </w:rPr>
        <w:t xml:space="preserve"> городском округе» муниципальной программы «Обеспечение доступным и комфортным жильем жителей Петропавловск-Камчатского городского округа».</w:t>
      </w:r>
    </w:p>
    <w:p w:rsidR="000663EB" w:rsidRPr="00EC20F8" w:rsidRDefault="000663EB" w:rsidP="000663EB">
      <w:pPr>
        <w:pStyle w:val="ConsNonformat"/>
        <w:widowControl/>
        <w:ind w:right="0"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Подпрограмма «Молодежь Петропавловск-Камчатского городского округа» и подпрограмма «Временное трудоустройство и содействие занятости молодежи» обеспечивают реализацию комплексной системы мер, направленной на выполнение основных задач в сфере молодежной политики на территории Петропавловск-Камчатского городского округа. </w:t>
      </w:r>
      <w:proofErr w:type="gramEnd"/>
    </w:p>
    <w:p w:rsidR="000663EB" w:rsidRPr="00EC20F8" w:rsidRDefault="000663EB" w:rsidP="000663EB">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Целью подпрограммы является создание условий для успешной социализации и эффективной самореализации молодежи. </w:t>
      </w:r>
      <w:proofErr w:type="gramStart"/>
      <w:r w:rsidRPr="00EC20F8">
        <w:rPr>
          <w:rFonts w:ascii="Times New Roman" w:hAnsi="Times New Roman" w:cs="Times New Roman"/>
          <w:sz w:val="28"/>
          <w:szCs w:val="28"/>
        </w:rPr>
        <w:t>В результате реализации программных мероприятий прогнозируется увеличение числа молодых граждан, активно участвующих в общественной, творческой и социальной жизни городского сообщества, имеющих гражданско-патриотическую позицию, уменьшение негативных проявлений в молодежной среде, снижение тенденции к экономической нестабильности молодежи.</w:t>
      </w:r>
      <w:proofErr w:type="gramEnd"/>
    </w:p>
    <w:p w:rsidR="000663EB" w:rsidRPr="00EC20F8" w:rsidRDefault="000663EB" w:rsidP="000663EB">
      <w:pPr>
        <w:pStyle w:val="ConsNonformat"/>
        <w:widowControl/>
        <w:ind w:right="0"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В рамках реализации подпрограммы «Молодежь» за период действия программы с начала 2011 года по</w:t>
      </w:r>
      <w:r w:rsidRPr="00EC20F8">
        <w:rPr>
          <w:sz w:val="28"/>
          <w:szCs w:val="28"/>
        </w:rPr>
        <w:t xml:space="preserve"> </w:t>
      </w:r>
      <w:r w:rsidRPr="00EC20F8">
        <w:rPr>
          <w:rFonts w:ascii="Times New Roman" w:hAnsi="Times New Roman" w:cs="Times New Roman"/>
          <w:sz w:val="28"/>
          <w:szCs w:val="28"/>
        </w:rPr>
        <w:t>01 июля 2014 года проведено 408 молодежных акций, мероприятий и проектов, многие из которых реализуются от 3 дней до 1,5 месяцев (например, обучающие программы) или состоят из ряда отдельных мероприятий (например, более 10 спортивных и творческих площадок на «День молодежи»).</w:t>
      </w:r>
      <w:proofErr w:type="gramEnd"/>
    </w:p>
    <w:p w:rsidR="000663EB" w:rsidRPr="00EC20F8" w:rsidRDefault="000663EB" w:rsidP="000663EB">
      <w:pPr>
        <w:pStyle w:val="ConsNonformat"/>
        <w:widowControl/>
        <w:ind w:right="0" w:firstLine="709"/>
        <w:jc w:val="both"/>
        <w:rPr>
          <w:rFonts w:ascii="Times New Roman" w:hAnsi="Times New Roman" w:cs="Times New Roman"/>
          <w:sz w:val="28"/>
          <w:szCs w:val="28"/>
        </w:rPr>
      </w:pPr>
      <w:r w:rsidRPr="00EC20F8">
        <w:rPr>
          <w:rFonts w:ascii="Times New Roman" w:hAnsi="Times New Roman" w:cs="Times New Roman"/>
          <w:sz w:val="28"/>
          <w:szCs w:val="28"/>
        </w:rPr>
        <w:t>Самые яркие из реализованных молодежных проектов за период действия Программы: Городской этап конкурса на лучшую молодую семью, День молодежи, образовательный проект «</w:t>
      </w:r>
      <w:proofErr w:type="spellStart"/>
      <w:proofErr w:type="gramStart"/>
      <w:r w:rsidRPr="00EC20F8">
        <w:rPr>
          <w:rFonts w:ascii="Times New Roman" w:hAnsi="Times New Roman" w:cs="Times New Roman"/>
          <w:sz w:val="28"/>
          <w:szCs w:val="28"/>
        </w:rPr>
        <w:t>Бизнес-молодежи</w:t>
      </w:r>
      <w:proofErr w:type="spellEnd"/>
      <w:proofErr w:type="gramEnd"/>
      <w:r w:rsidRPr="00EC20F8">
        <w:rPr>
          <w:rFonts w:ascii="Times New Roman" w:hAnsi="Times New Roman" w:cs="Times New Roman"/>
          <w:sz w:val="28"/>
          <w:szCs w:val="28"/>
        </w:rPr>
        <w:t>», музыкальный рок-фестиваль «Живая волна», акция «Георгиевская ленточка», городской молодежный фестиваль «Петропавловск-город молодых».</w:t>
      </w:r>
    </w:p>
    <w:p w:rsidR="000663EB" w:rsidRPr="00EC20F8" w:rsidRDefault="000663EB" w:rsidP="000663EB">
      <w:pPr>
        <w:pStyle w:val="ConsNonformat"/>
        <w:widowControl/>
        <w:ind w:right="0"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В рамках поддержки общественных организаций и объединений ежегодно проводится конкурс проектов и программ общественных организаций и объединений на предоставление субсидий из бюджета Петропавловск-Камчатского городского округа  на поддержку общественных инициатив по направлениям молодежной политики.</w:t>
      </w:r>
      <w:proofErr w:type="gramEnd"/>
      <w:r w:rsidRPr="00EC20F8">
        <w:rPr>
          <w:rFonts w:ascii="Times New Roman" w:hAnsi="Times New Roman" w:cs="Times New Roman"/>
          <w:sz w:val="28"/>
          <w:szCs w:val="28"/>
        </w:rPr>
        <w:t xml:space="preserve"> Победителями конкурса в 2014 году </w:t>
      </w:r>
      <w:proofErr w:type="gramStart"/>
      <w:r w:rsidRPr="00EC20F8">
        <w:rPr>
          <w:rFonts w:ascii="Times New Roman" w:hAnsi="Times New Roman" w:cs="Times New Roman"/>
          <w:sz w:val="28"/>
          <w:szCs w:val="28"/>
        </w:rPr>
        <w:t>признаны</w:t>
      </w:r>
      <w:proofErr w:type="gramEnd"/>
      <w:r w:rsidRPr="00EC20F8">
        <w:rPr>
          <w:rFonts w:ascii="Times New Roman" w:hAnsi="Times New Roman" w:cs="Times New Roman"/>
          <w:sz w:val="28"/>
          <w:szCs w:val="28"/>
        </w:rPr>
        <w:t xml:space="preserve"> 12 проектов. В рамках реализации подпрограммы ведется постоянная работа с общественными молодежными организациями, добровольческими организациями, в том числе проводятся совместные акции и мероприятия.</w:t>
      </w:r>
    </w:p>
    <w:p w:rsidR="000663EB" w:rsidRPr="00EC20F8" w:rsidRDefault="000663EB" w:rsidP="000663EB">
      <w:pPr>
        <w:pStyle w:val="ConsNonformat"/>
        <w:widowControl/>
        <w:ind w:right="0"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Отдельным пунктом программы предусмотрены ассигнования на проведение игр клуба КВН-Камчатка и участие сборной КВН-Камчатка в играх международной лиги КВН, Тихоокеанской лиги КВН, фестивале «КИВИН» в </w:t>
      </w:r>
      <w:proofErr w:type="gramStart"/>
      <w:r w:rsidRPr="00EC20F8">
        <w:rPr>
          <w:rFonts w:ascii="Times New Roman" w:hAnsi="Times New Roman" w:cs="Times New Roman"/>
          <w:sz w:val="28"/>
          <w:szCs w:val="28"/>
        </w:rPr>
        <w:t>г</w:t>
      </w:r>
      <w:proofErr w:type="gramEnd"/>
      <w:r w:rsidRPr="00EC20F8">
        <w:rPr>
          <w:rFonts w:ascii="Times New Roman" w:hAnsi="Times New Roman" w:cs="Times New Roman"/>
          <w:sz w:val="28"/>
          <w:szCs w:val="28"/>
        </w:rPr>
        <w:t xml:space="preserve">. Сочи, фестивале Лиги «КВН-Азия» г. Красноярск. </w:t>
      </w:r>
    </w:p>
    <w:p w:rsidR="000663EB" w:rsidRPr="00EC20F8" w:rsidRDefault="000663EB" w:rsidP="000663EB">
      <w:pPr>
        <w:pStyle w:val="ConsNonformat"/>
        <w:widowControl/>
        <w:ind w:right="0" w:firstLine="709"/>
        <w:jc w:val="both"/>
        <w:rPr>
          <w:rFonts w:ascii="Times New Roman" w:hAnsi="Times New Roman" w:cs="Times New Roman"/>
          <w:sz w:val="28"/>
          <w:szCs w:val="28"/>
        </w:rPr>
      </w:pPr>
      <w:r w:rsidRPr="00EC20F8">
        <w:rPr>
          <w:rFonts w:ascii="Times New Roman" w:hAnsi="Times New Roman" w:cs="Times New Roman"/>
          <w:sz w:val="28"/>
          <w:szCs w:val="28"/>
        </w:rPr>
        <w:t>В программе предусмотрено участие молодежи в международных, общероссийских и региональных мероприятиях, конкурсах по направлениям молодежной политики. За период 2011-2014 годы при программной поддержке представители молодежи города приняли участие более чем в 17 мероприятиях федерального и международного значения.</w:t>
      </w:r>
    </w:p>
    <w:p w:rsidR="00990336" w:rsidRPr="00EC20F8" w:rsidRDefault="000663EB" w:rsidP="00990336">
      <w:pPr>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В рамках реализации подпрограммы «Молодежь» осуществляется профилактическая работа, в том числе ежегодно проводится лагерь для несовершеннолетних «группы риска» «Гранит» (списки детей формируются по направлениям комиссии по делам несовершеннолетних и ОДМ УВД) – за период с 2011 года в лагере «Гранит» отдохнуло 110 несовершеннолетних; проводятся мероприятия по профилактике асоциальных явлений в молодежной среде, пропаганде здорового образа жизни, издаются печатные материалы. </w:t>
      </w:r>
      <w:proofErr w:type="gramEnd"/>
    </w:p>
    <w:p w:rsidR="000663EB" w:rsidRPr="00EC20F8" w:rsidRDefault="000663EB" w:rsidP="00990336">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Подпрограмма «Обеспечение жильем молодых семей в </w:t>
      </w:r>
      <w:proofErr w:type="gramStart"/>
      <w:r w:rsidRPr="00EC20F8">
        <w:rPr>
          <w:rFonts w:ascii="Times New Roman" w:hAnsi="Times New Roman" w:cs="Times New Roman"/>
          <w:sz w:val="28"/>
          <w:szCs w:val="28"/>
        </w:rPr>
        <w:t>Петропавловск-Камчатском</w:t>
      </w:r>
      <w:proofErr w:type="gramEnd"/>
      <w:r w:rsidRPr="00EC20F8">
        <w:rPr>
          <w:rFonts w:ascii="Times New Roman" w:hAnsi="Times New Roman" w:cs="Times New Roman"/>
          <w:sz w:val="28"/>
          <w:szCs w:val="28"/>
        </w:rPr>
        <w:t xml:space="preserve"> городском округе» сохраняет приоритетный статус на протяжении всего периода своей реализации. </w:t>
      </w:r>
      <w:proofErr w:type="gramStart"/>
      <w:r w:rsidRPr="00EC20F8">
        <w:rPr>
          <w:rFonts w:ascii="Times New Roman" w:hAnsi="Times New Roman" w:cs="Times New Roman"/>
          <w:sz w:val="28"/>
          <w:szCs w:val="28"/>
        </w:rPr>
        <w:t>За это время по программе 193 молодые семьи приобрели жилье: в 2008 году – 33; в 2009 году – 24; в 2010 году – 34; в 2011 году – 52; в 2012 году – 50 семей, в 2013 году свидетельства получили 53 молодые семьи, из них 37 семей (70 %) приобрели квартиры, 16 семей перешли на 2014 год</w:t>
      </w:r>
      <w:r w:rsidR="00D31C10" w:rsidRPr="00EC20F8">
        <w:rPr>
          <w:rFonts w:ascii="Times New Roman" w:hAnsi="Times New Roman" w:cs="Times New Roman"/>
          <w:sz w:val="28"/>
          <w:szCs w:val="28"/>
        </w:rPr>
        <w:t>.</w:t>
      </w:r>
      <w:proofErr w:type="gramEnd"/>
      <w:r w:rsidR="00D31C10" w:rsidRPr="00EC20F8">
        <w:rPr>
          <w:rFonts w:ascii="Times New Roman" w:hAnsi="Times New Roman" w:cs="Times New Roman"/>
          <w:sz w:val="28"/>
          <w:szCs w:val="28"/>
        </w:rPr>
        <w:t xml:space="preserve"> Две семьи не реализовали</w:t>
      </w:r>
      <w:r w:rsidRPr="00EC20F8">
        <w:rPr>
          <w:rFonts w:ascii="Times New Roman" w:hAnsi="Times New Roman" w:cs="Times New Roman"/>
          <w:sz w:val="28"/>
          <w:szCs w:val="28"/>
        </w:rPr>
        <w:t xml:space="preserve"> свое право на получение социальной выплаты на приобретение жилья или строительство жилого дома. Срок действия свидетельств этих семей истек 01 июля 2014 года. Произведен возврат средств </w:t>
      </w:r>
      <w:r w:rsidR="00E64E42" w:rsidRPr="00EC20F8">
        <w:rPr>
          <w:rFonts w:ascii="Times New Roman" w:hAnsi="Times New Roman" w:cs="Times New Roman"/>
          <w:sz w:val="28"/>
          <w:szCs w:val="28"/>
        </w:rPr>
        <w:t>ф</w:t>
      </w:r>
      <w:r w:rsidRPr="00EC20F8">
        <w:rPr>
          <w:rFonts w:ascii="Times New Roman" w:hAnsi="Times New Roman" w:cs="Times New Roman"/>
          <w:sz w:val="28"/>
          <w:szCs w:val="28"/>
        </w:rPr>
        <w:t xml:space="preserve">едерального бюджета, бюджета Камчатского края и бюджета </w:t>
      </w:r>
      <w:proofErr w:type="gramStart"/>
      <w:r w:rsidRPr="00EC20F8">
        <w:rPr>
          <w:rFonts w:ascii="Times New Roman" w:hAnsi="Times New Roman" w:cs="Times New Roman"/>
          <w:sz w:val="28"/>
          <w:szCs w:val="28"/>
        </w:rPr>
        <w:t>Петропавловск-Камчатского</w:t>
      </w:r>
      <w:proofErr w:type="gramEnd"/>
      <w:r w:rsidRPr="00EC20F8">
        <w:rPr>
          <w:rFonts w:ascii="Times New Roman" w:hAnsi="Times New Roman" w:cs="Times New Roman"/>
          <w:sz w:val="28"/>
          <w:szCs w:val="28"/>
        </w:rPr>
        <w:t xml:space="preserve"> городского округа.</w:t>
      </w:r>
    </w:p>
    <w:p w:rsidR="000663EB" w:rsidRPr="00EC20F8" w:rsidRDefault="000663EB" w:rsidP="000663EB">
      <w:pPr>
        <w:pStyle w:val="ConsNonformat"/>
        <w:widowControl/>
        <w:ind w:left="34" w:right="33"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В 2014 году сформирован список молодых семей - участников подпрограммы. </w:t>
      </w:r>
      <w:proofErr w:type="gramStart"/>
      <w:r w:rsidRPr="00EC20F8">
        <w:rPr>
          <w:rFonts w:ascii="Times New Roman" w:hAnsi="Times New Roman" w:cs="Times New Roman"/>
          <w:sz w:val="28"/>
          <w:szCs w:val="28"/>
        </w:rPr>
        <w:t>Предоставление социальных выплат планируется в августе-сентябре 2014 года, в связи с задержкой подписания Соглашения по реализации программы между Министерством регионального развития РФ и Министерством спорта и молодежной политики Камчатского края.</w:t>
      </w:r>
      <w:proofErr w:type="gramEnd"/>
    </w:p>
    <w:p w:rsidR="008316EC" w:rsidRPr="00EC20F8" w:rsidRDefault="008316EC" w:rsidP="000663EB">
      <w:pPr>
        <w:pStyle w:val="ConsNonformat"/>
        <w:widowControl/>
        <w:ind w:right="33"/>
        <w:jc w:val="center"/>
        <w:rPr>
          <w:rFonts w:ascii="Times New Roman" w:hAnsi="Times New Roman" w:cs="Times New Roman"/>
          <w:i/>
          <w:iCs/>
          <w:sz w:val="24"/>
          <w:szCs w:val="24"/>
        </w:rPr>
      </w:pPr>
    </w:p>
    <w:p w:rsidR="00C01508" w:rsidRPr="00EC20F8" w:rsidRDefault="000663EB" w:rsidP="000663EB">
      <w:pPr>
        <w:pStyle w:val="ConsNonformat"/>
        <w:widowControl/>
        <w:ind w:right="33"/>
        <w:jc w:val="center"/>
        <w:rPr>
          <w:rFonts w:ascii="Times New Roman" w:hAnsi="Times New Roman" w:cs="Times New Roman"/>
          <w:i/>
          <w:iCs/>
          <w:sz w:val="24"/>
          <w:szCs w:val="24"/>
        </w:rPr>
      </w:pPr>
      <w:r w:rsidRPr="00EC20F8">
        <w:rPr>
          <w:rFonts w:ascii="Times New Roman" w:hAnsi="Times New Roman" w:cs="Times New Roman"/>
          <w:noProof/>
          <w:sz w:val="28"/>
          <w:szCs w:val="28"/>
          <w:bdr w:val="single" w:sz="4" w:space="0" w:color="auto"/>
        </w:rPr>
        <w:drawing>
          <wp:inline distT="0" distB="0" distL="0" distR="0">
            <wp:extent cx="5762625" cy="1838325"/>
            <wp:effectExtent l="0" t="0" r="0" b="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C01508" w:rsidRPr="00EC20F8" w:rsidRDefault="00C01508" w:rsidP="000663EB">
      <w:pPr>
        <w:pStyle w:val="ConsNonformat"/>
        <w:widowControl/>
        <w:ind w:right="33"/>
        <w:jc w:val="center"/>
        <w:rPr>
          <w:rFonts w:ascii="Times New Roman" w:hAnsi="Times New Roman" w:cs="Times New Roman"/>
          <w:i/>
          <w:iCs/>
          <w:sz w:val="12"/>
          <w:szCs w:val="12"/>
        </w:rPr>
      </w:pPr>
    </w:p>
    <w:p w:rsidR="000663EB" w:rsidRPr="00EC20F8" w:rsidRDefault="000663EB" w:rsidP="000663EB">
      <w:pPr>
        <w:pStyle w:val="ConsNonformat"/>
        <w:widowControl/>
        <w:ind w:right="33"/>
        <w:jc w:val="center"/>
        <w:rPr>
          <w:rFonts w:ascii="Times New Roman" w:hAnsi="Times New Roman" w:cs="Times New Roman"/>
          <w:i/>
          <w:iCs/>
          <w:sz w:val="24"/>
          <w:szCs w:val="24"/>
        </w:rPr>
      </w:pPr>
      <w:r w:rsidRPr="00EC20F8">
        <w:rPr>
          <w:rFonts w:ascii="Times New Roman" w:hAnsi="Times New Roman" w:cs="Times New Roman"/>
          <w:i/>
          <w:iCs/>
          <w:sz w:val="24"/>
          <w:szCs w:val="24"/>
        </w:rPr>
        <w:t xml:space="preserve">Рис.15.1. Число выданных свидетельств </w:t>
      </w:r>
      <w:proofErr w:type="gramStart"/>
      <w:r w:rsidRPr="00EC20F8">
        <w:rPr>
          <w:rFonts w:ascii="Times New Roman" w:hAnsi="Times New Roman" w:cs="Times New Roman"/>
          <w:i/>
          <w:iCs/>
          <w:sz w:val="24"/>
          <w:szCs w:val="24"/>
        </w:rPr>
        <w:t>о праве на получение социальной выплаты при приобретении жилья для молодых семей</w:t>
      </w:r>
      <w:proofErr w:type="gramEnd"/>
      <w:r w:rsidRPr="00EC20F8">
        <w:rPr>
          <w:rFonts w:ascii="Times New Roman" w:hAnsi="Times New Roman" w:cs="Times New Roman"/>
          <w:i/>
          <w:iCs/>
          <w:sz w:val="24"/>
          <w:szCs w:val="24"/>
        </w:rPr>
        <w:t xml:space="preserve"> в 2008-2014 годах, единиц</w:t>
      </w:r>
    </w:p>
    <w:p w:rsidR="00C01508" w:rsidRPr="00EC20F8" w:rsidRDefault="00C01508" w:rsidP="000663EB">
      <w:pPr>
        <w:pStyle w:val="ConsNonformat"/>
        <w:widowControl/>
        <w:ind w:left="34" w:right="33" w:firstLine="709"/>
        <w:jc w:val="both"/>
        <w:rPr>
          <w:rFonts w:ascii="Times New Roman" w:hAnsi="Times New Roman" w:cs="Times New Roman"/>
          <w:sz w:val="12"/>
          <w:szCs w:val="12"/>
        </w:rPr>
      </w:pPr>
    </w:p>
    <w:p w:rsidR="000663EB" w:rsidRPr="00EC20F8" w:rsidRDefault="000663EB" w:rsidP="000663EB">
      <w:pPr>
        <w:pStyle w:val="ConsNonformat"/>
        <w:widowControl/>
        <w:ind w:left="34" w:right="33" w:firstLine="709"/>
        <w:jc w:val="both"/>
        <w:rPr>
          <w:rFonts w:ascii="Times New Roman" w:hAnsi="Times New Roman" w:cs="Times New Roman"/>
          <w:sz w:val="28"/>
          <w:szCs w:val="28"/>
        </w:rPr>
      </w:pPr>
      <w:r w:rsidRPr="00EC20F8">
        <w:rPr>
          <w:rFonts w:ascii="Times New Roman" w:hAnsi="Times New Roman" w:cs="Times New Roman"/>
          <w:sz w:val="28"/>
          <w:szCs w:val="28"/>
        </w:rPr>
        <w:t>Отдельным направлением работы является трудоустройство несовершеннолетних в рамках реализации подпрограммы «Временное трудоустройство и содействие занятости молодежи».</w:t>
      </w:r>
    </w:p>
    <w:p w:rsidR="000663EB" w:rsidRPr="00EC20F8" w:rsidRDefault="000663EB" w:rsidP="000663EB">
      <w:pPr>
        <w:pStyle w:val="ConsNonformat"/>
        <w:widowControl/>
        <w:ind w:left="34" w:right="33"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В рамках подпрограммы осуществляется информирование молодежи о трудоустройстве, </w:t>
      </w:r>
      <w:proofErr w:type="spellStart"/>
      <w:r w:rsidRPr="00EC20F8">
        <w:rPr>
          <w:rFonts w:ascii="Times New Roman" w:hAnsi="Times New Roman" w:cs="Times New Roman"/>
          <w:sz w:val="28"/>
          <w:szCs w:val="28"/>
        </w:rPr>
        <w:t>профориентационная</w:t>
      </w:r>
      <w:proofErr w:type="spellEnd"/>
      <w:r w:rsidRPr="00EC20F8">
        <w:rPr>
          <w:rFonts w:ascii="Times New Roman" w:hAnsi="Times New Roman" w:cs="Times New Roman"/>
          <w:sz w:val="28"/>
          <w:szCs w:val="28"/>
        </w:rPr>
        <w:t xml:space="preserve"> работа и непосредственное создание дополнительных рабочих мест по благоустройству городских территорий в молодежных трудовых отрядах «Молодой Петропавловск». </w:t>
      </w:r>
    </w:p>
    <w:p w:rsidR="000663EB" w:rsidRPr="00EC20F8" w:rsidRDefault="000663EB" w:rsidP="000663EB">
      <w:pPr>
        <w:pStyle w:val="ConsNonformat"/>
        <w:widowControl/>
        <w:ind w:left="34" w:right="33"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Всего по подпрограмме в свободное от учебы время (летние каникулы и вторичная занятость) трудоустроено подростков: 2011 году – 352 человек; 2012 – 481; 2013 – 484. План на 2014 год – трудоустройство в рамках подпрограммы в МАУ «Молодежный центр </w:t>
      </w:r>
      <w:proofErr w:type="gramStart"/>
      <w:r w:rsidRPr="00EC20F8">
        <w:rPr>
          <w:rFonts w:ascii="Times New Roman" w:hAnsi="Times New Roman" w:cs="Times New Roman"/>
          <w:sz w:val="28"/>
          <w:szCs w:val="28"/>
        </w:rPr>
        <w:t>Петропавловск-Камчатского</w:t>
      </w:r>
      <w:proofErr w:type="gramEnd"/>
      <w:r w:rsidRPr="00EC20F8">
        <w:rPr>
          <w:rFonts w:ascii="Times New Roman" w:hAnsi="Times New Roman" w:cs="Times New Roman"/>
          <w:sz w:val="28"/>
          <w:szCs w:val="28"/>
        </w:rPr>
        <w:t xml:space="preserve"> городского округа» не менее 560 подростков.</w:t>
      </w:r>
    </w:p>
    <w:p w:rsidR="000663EB" w:rsidRPr="00EC20F8" w:rsidRDefault="000663EB" w:rsidP="000663EB">
      <w:pPr>
        <w:tabs>
          <w:tab w:val="num" w:pos="1080"/>
        </w:tabs>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В 2014 году в рамках профориентации по подпрограмме проведены молодежные мероприятия, в том числе: образовательный проект «Бизнес – молодежи»; информационные мероприятия и акции в СОШ города с размещением плакатов по временному трудоустройству; </w:t>
      </w:r>
      <w:proofErr w:type="spellStart"/>
      <w:r w:rsidRPr="00EC20F8">
        <w:rPr>
          <w:rFonts w:ascii="Times New Roman" w:hAnsi="Times New Roman" w:cs="Times New Roman"/>
          <w:sz w:val="28"/>
          <w:szCs w:val="28"/>
        </w:rPr>
        <w:t>АртПрофиФорум</w:t>
      </w:r>
      <w:proofErr w:type="spellEnd"/>
      <w:r w:rsidRPr="00EC20F8">
        <w:rPr>
          <w:rFonts w:ascii="Times New Roman" w:hAnsi="Times New Roman" w:cs="Times New Roman"/>
          <w:sz w:val="28"/>
          <w:szCs w:val="28"/>
        </w:rPr>
        <w:t>.</w:t>
      </w:r>
    </w:p>
    <w:p w:rsidR="000663EB" w:rsidRPr="00EC20F8" w:rsidRDefault="000663EB" w:rsidP="000663EB">
      <w:pPr>
        <w:pStyle w:val="ConsNonformat"/>
        <w:widowControl/>
        <w:ind w:left="34" w:right="33" w:firstLine="709"/>
        <w:jc w:val="both"/>
        <w:rPr>
          <w:rFonts w:ascii="Times New Roman" w:hAnsi="Times New Roman" w:cs="Times New Roman"/>
          <w:sz w:val="28"/>
          <w:szCs w:val="28"/>
        </w:rPr>
      </w:pPr>
      <w:r w:rsidRPr="00EC20F8">
        <w:rPr>
          <w:rFonts w:ascii="Times New Roman" w:hAnsi="Times New Roman" w:cs="Times New Roman"/>
          <w:sz w:val="28"/>
          <w:szCs w:val="28"/>
        </w:rPr>
        <w:t>В МАУ «Молодежный центр» на специально созданные дополнительные временные рабочие места в 1 и 2 сменах 2014 года трудовых отрядов «Молодой Петропавловск» трудоустроено 423 подростка (1 смена - 271 подросток, 2 смена – 152).</w:t>
      </w:r>
    </w:p>
    <w:p w:rsidR="000663EB" w:rsidRPr="00EC20F8" w:rsidRDefault="000663EB" w:rsidP="000663EB">
      <w:pPr>
        <w:pStyle w:val="ConsNonformat"/>
        <w:widowControl/>
        <w:ind w:left="34" w:right="33"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Политика администрации городского округа по работе с молодежью на среднесрочную перспективу 2015-2017 годов будет нацелена на с</w:t>
      </w:r>
      <w:r w:rsidRPr="00EC20F8">
        <w:rPr>
          <w:rFonts w:ascii="Times New Roman" w:eastAsia="Calibri" w:hAnsi="Times New Roman" w:cs="Times New Roman"/>
          <w:sz w:val="28"/>
          <w:szCs w:val="28"/>
        </w:rPr>
        <w:t>оздание условий для успешной социализации и эффективной само</w:t>
      </w:r>
      <w:r w:rsidRPr="00EC20F8">
        <w:rPr>
          <w:rFonts w:ascii="Times New Roman" w:hAnsi="Times New Roman" w:cs="Times New Roman"/>
          <w:sz w:val="28"/>
          <w:szCs w:val="28"/>
        </w:rPr>
        <w:t xml:space="preserve">реализации молодежи и </w:t>
      </w:r>
      <w:r w:rsidRPr="00EC20F8">
        <w:rPr>
          <w:rFonts w:ascii="Times New Roman" w:eastAsia="Calibri" w:hAnsi="Times New Roman" w:cs="Times New Roman"/>
          <w:sz w:val="28"/>
          <w:szCs w:val="28"/>
        </w:rPr>
        <w:t>развитие эффективных моделей, форм и методов вовлечения молодежи в трудовую и экономическую деятельность, временное трудоустройство несовершеннолетних</w:t>
      </w:r>
      <w:r w:rsidRPr="00EC20F8">
        <w:rPr>
          <w:rFonts w:ascii="Times New Roman" w:hAnsi="Times New Roman" w:cs="Times New Roman"/>
          <w:sz w:val="28"/>
          <w:szCs w:val="28"/>
        </w:rPr>
        <w:t>.</w:t>
      </w:r>
      <w:proofErr w:type="gramEnd"/>
    </w:p>
    <w:p w:rsidR="000663EB" w:rsidRPr="00EC20F8" w:rsidRDefault="007B255B" w:rsidP="000663EB">
      <w:pPr>
        <w:pStyle w:val="af8"/>
        <w:ind w:firstLine="709"/>
        <w:jc w:val="both"/>
        <w:rPr>
          <w:rFonts w:ascii="Times New Roman" w:hAnsi="Times New Roman" w:cs="Times New Roman"/>
          <w:sz w:val="28"/>
          <w:szCs w:val="28"/>
        </w:rPr>
      </w:pPr>
      <w:r w:rsidRPr="00EC20F8">
        <w:rPr>
          <w:rFonts w:ascii="Times New Roman" w:hAnsi="Times New Roman" w:cs="Times New Roman"/>
          <w:sz w:val="28"/>
          <w:szCs w:val="28"/>
        </w:rPr>
        <w:t>В 2015-2017 годах о</w:t>
      </w:r>
      <w:r w:rsidR="000663EB" w:rsidRPr="00EC20F8">
        <w:rPr>
          <w:rFonts w:ascii="Times New Roman" w:hAnsi="Times New Roman" w:cs="Times New Roman"/>
          <w:sz w:val="28"/>
          <w:szCs w:val="28"/>
        </w:rPr>
        <w:t>сновными направлениями реализации молодежной политики на территории городского округа останутся:</w:t>
      </w:r>
    </w:p>
    <w:p w:rsidR="000663EB" w:rsidRPr="00EC20F8" w:rsidRDefault="000663EB" w:rsidP="000663EB">
      <w:pPr>
        <w:pStyle w:val="af8"/>
        <w:tabs>
          <w:tab w:val="left" w:pos="993"/>
        </w:tabs>
        <w:ind w:firstLine="709"/>
        <w:jc w:val="both"/>
        <w:rPr>
          <w:rFonts w:ascii="Times New Roman" w:hAnsi="Times New Roman" w:cs="Times New Roman"/>
          <w:sz w:val="28"/>
          <w:szCs w:val="28"/>
        </w:rPr>
      </w:pPr>
      <w:r w:rsidRPr="00EC20F8">
        <w:rPr>
          <w:rFonts w:ascii="Times New Roman" w:hAnsi="Times New Roman" w:cs="Times New Roman"/>
          <w:sz w:val="28"/>
          <w:szCs w:val="28"/>
        </w:rPr>
        <w:t>-</w:t>
      </w:r>
      <w:r w:rsidRPr="00EC20F8">
        <w:rPr>
          <w:rFonts w:ascii="Times New Roman" w:hAnsi="Times New Roman" w:cs="Times New Roman"/>
          <w:sz w:val="28"/>
          <w:szCs w:val="28"/>
        </w:rPr>
        <w:tab/>
        <w:t>вовлечение молодежи в социальную практику и ее информирование, создание условий для формирования здорового образа жизни, активного включения молодежи в социально-экономическую, политическую и культурную жизнь общества;</w:t>
      </w:r>
    </w:p>
    <w:p w:rsidR="000663EB" w:rsidRPr="00EC20F8" w:rsidRDefault="000663EB" w:rsidP="000663EB">
      <w:pPr>
        <w:pStyle w:val="af8"/>
        <w:tabs>
          <w:tab w:val="left" w:pos="993"/>
        </w:tabs>
        <w:ind w:firstLine="709"/>
        <w:jc w:val="both"/>
        <w:rPr>
          <w:rFonts w:ascii="Times New Roman" w:hAnsi="Times New Roman" w:cs="Times New Roman"/>
          <w:sz w:val="28"/>
          <w:szCs w:val="28"/>
        </w:rPr>
      </w:pPr>
      <w:r w:rsidRPr="00EC20F8">
        <w:rPr>
          <w:rFonts w:ascii="Times New Roman" w:hAnsi="Times New Roman" w:cs="Times New Roman"/>
          <w:sz w:val="28"/>
          <w:szCs w:val="28"/>
        </w:rPr>
        <w:t>-</w:t>
      </w:r>
      <w:r w:rsidRPr="00EC20F8">
        <w:rPr>
          <w:rFonts w:ascii="Times New Roman" w:hAnsi="Times New Roman" w:cs="Times New Roman"/>
          <w:sz w:val="28"/>
          <w:szCs w:val="28"/>
        </w:rPr>
        <w:tab/>
        <w:t>выявление и продвижение талантливой молодежи, поддержка общественных организаций и объединений в реализации творческих, научных, спортивных, социальных проектов и программ;</w:t>
      </w:r>
    </w:p>
    <w:p w:rsidR="000663EB" w:rsidRPr="00EC20F8" w:rsidRDefault="000663EB" w:rsidP="000663EB">
      <w:pPr>
        <w:pStyle w:val="af8"/>
        <w:tabs>
          <w:tab w:val="left" w:pos="993"/>
        </w:tabs>
        <w:ind w:firstLine="709"/>
        <w:jc w:val="both"/>
        <w:rPr>
          <w:rFonts w:ascii="Times New Roman" w:hAnsi="Times New Roman" w:cs="Times New Roman"/>
          <w:sz w:val="28"/>
          <w:szCs w:val="28"/>
        </w:rPr>
      </w:pPr>
      <w:r w:rsidRPr="00EC20F8">
        <w:rPr>
          <w:rFonts w:ascii="Times New Roman" w:hAnsi="Times New Roman" w:cs="Times New Roman"/>
          <w:sz w:val="28"/>
          <w:szCs w:val="28"/>
        </w:rPr>
        <w:t>-</w:t>
      </w:r>
      <w:r w:rsidRPr="00EC20F8">
        <w:rPr>
          <w:rFonts w:ascii="Times New Roman" w:hAnsi="Times New Roman" w:cs="Times New Roman"/>
          <w:sz w:val="28"/>
          <w:szCs w:val="28"/>
        </w:rPr>
        <w:tab/>
        <w:t>поддержка в решении жилищной проблемы молодых семей;</w:t>
      </w:r>
    </w:p>
    <w:p w:rsidR="000663EB" w:rsidRPr="00EC20F8" w:rsidRDefault="000663EB" w:rsidP="000663EB">
      <w:pPr>
        <w:pStyle w:val="af8"/>
        <w:tabs>
          <w:tab w:val="left" w:pos="993"/>
        </w:tabs>
        <w:ind w:firstLine="709"/>
        <w:jc w:val="both"/>
        <w:rPr>
          <w:rFonts w:ascii="Times New Roman" w:hAnsi="Times New Roman" w:cs="Times New Roman"/>
          <w:sz w:val="28"/>
          <w:szCs w:val="28"/>
        </w:rPr>
      </w:pPr>
      <w:r w:rsidRPr="00EC20F8">
        <w:rPr>
          <w:rFonts w:ascii="Times New Roman" w:hAnsi="Times New Roman" w:cs="Times New Roman"/>
          <w:sz w:val="28"/>
          <w:szCs w:val="28"/>
        </w:rPr>
        <w:t>-</w:t>
      </w:r>
      <w:r w:rsidRPr="00EC20F8">
        <w:rPr>
          <w:rFonts w:ascii="Times New Roman" w:hAnsi="Times New Roman" w:cs="Times New Roman"/>
          <w:sz w:val="28"/>
          <w:szCs w:val="28"/>
        </w:rPr>
        <w:tab/>
        <w:t>развитие форм и методов вовлечения молодежи в трудовую деятельность;</w:t>
      </w:r>
      <w:r w:rsidR="00DA27E6" w:rsidRPr="00EC20F8">
        <w:rPr>
          <w:sz w:val="28"/>
          <w:szCs w:val="28"/>
        </w:rPr>
        <w:t xml:space="preserve"> </w:t>
      </w:r>
      <w:proofErr w:type="gramStart"/>
      <w:r w:rsidR="00DA27E6" w:rsidRPr="00EC20F8">
        <w:rPr>
          <w:rFonts w:ascii="Times New Roman" w:hAnsi="Times New Roman" w:cs="Times New Roman"/>
          <w:sz w:val="28"/>
          <w:szCs w:val="28"/>
        </w:rPr>
        <w:t>содействие молодежи при выборе профессии и вступлении в трудовую жизнь, создание условий для трудоустройства несовершеннолетних планируется осуществить путем организации муниципальных мероприятий, направленных на трудовую адаптацию молодежи, формирование среди учащихся 9-11 классов общеобразовательных учреждений понимания необходимости осознанного выбора профессии, участие молодежи в трудовых и экологических акциях и трудоустройство несовершеннолетних на временных дополнительно созданных в МАУ «Молодежный центр» рабочих местах по благоустройству</w:t>
      </w:r>
      <w:proofErr w:type="gramEnd"/>
      <w:r w:rsidR="00DA27E6" w:rsidRPr="00EC20F8">
        <w:rPr>
          <w:rFonts w:ascii="Times New Roman" w:hAnsi="Times New Roman" w:cs="Times New Roman"/>
          <w:sz w:val="28"/>
          <w:szCs w:val="28"/>
        </w:rPr>
        <w:t xml:space="preserve"> территории городского округа;</w:t>
      </w:r>
    </w:p>
    <w:p w:rsidR="000663EB" w:rsidRPr="00EC20F8" w:rsidRDefault="000663EB" w:rsidP="000663EB">
      <w:pPr>
        <w:pStyle w:val="af8"/>
        <w:tabs>
          <w:tab w:val="left" w:pos="993"/>
        </w:tabs>
        <w:ind w:firstLine="709"/>
        <w:jc w:val="both"/>
        <w:rPr>
          <w:rFonts w:ascii="Times New Roman" w:hAnsi="Times New Roman" w:cs="Times New Roman"/>
          <w:sz w:val="28"/>
          <w:szCs w:val="28"/>
        </w:rPr>
      </w:pPr>
      <w:r w:rsidRPr="00EC20F8">
        <w:rPr>
          <w:rFonts w:ascii="Times New Roman" w:hAnsi="Times New Roman" w:cs="Times New Roman"/>
          <w:sz w:val="28"/>
          <w:szCs w:val="28"/>
        </w:rPr>
        <w:t>-</w:t>
      </w:r>
      <w:r w:rsidRPr="00EC20F8">
        <w:rPr>
          <w:rFonts w:ascii="Times New Roman" w:hAnsi="Times New Roman" w:cs="Times New Roman"/>
          <w:sz w:val="28"/>
          <w:szCs w:val="28"/>
        </w:rPr>
        <w:tab/>
        <w:t>профилактика асоциальных явлений и интеграция в жизнь общества молодых людей, попавших в трудную жизненную ситуацию.</w:t>
      </w:r>
    </w:p>
    <w:p w:rsidR="00A25268" w:rsidRPr="00EC20F8" w:rsidRDefault="007B255B" w:rsidP="00A25268">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Мероприятия будут выполнят</w:t>
      </w:r>
      <w:r w:rsidR="006A535C" w:rsidRPr="00EC20F8">
        <w:rPr>
          <w:rFonts w:ascii="Times New Roman" w:hAnsi="Times New Roman" w:cs="Times New Roman"/>
          <w:sz w:val="28"/>
          <w:szCs w:val="28"/>
        </w:rPr>
        <w:t>ь</w:t>
      </w:r>
      <w:r w:rsidRPr="00EC20F8">
        <w:rPr>
          <w:rFonts w:ascii="Times New Roman" w:hAnsi="Times New Roman" w:cs="Times New Roman"/>
          <w:sz w:val="28"/>
          <w:szCs w:val="28"/>
        </w:rPr>
        <w:t>ся  в соответствии с муниципальной программ</w:t>
      </w:r>
      <w:r w:rsidR="006A535C" w:rsidRPr="00EC20F8">
        <w:rPr>
          <w:rFonts w:ascii="Times New Roman" w:hAnsi="Times New Roman" w:cs="Times New Roman"/>
          <w:sz w:val="28"/>
          <w:szCs w:val="28"/>
        </w:rPr>
        <w:t xml:space="preserve">ой «Создание условий для развития культуры, спорта и молодежной политики в </w:t>
      </w:r>
      <w:proofErr w:type="spellStart"/>
      <w:proofErr w:type="gramStart"/>
      <w:r w:rsidR="006A535C" w:rsidRPr="00EC20F8">
        <w:rPr>
          <w:rFonts w:ascii="Times New Roman" w:hAnsi="Times New Roman" w:cs="Times New Roman"/>
          <w:sz w:val="28"/>
          <w:szCs w:val="28"/>
        </w:rPr>
        <w:t>Петропавловск-Камчатском</w:t>
      </w:r>
      <w:proofErr w:type="spellEnd"/>
      <w:proofErr w:type="gramEnd"/>
      <w:r w:rsidR="006A535C" w:rsidRPr="00EC20F8">
        <w:rPr>
          <w:rFonts w:ascii="Times New Roman" w:hAnsi="Times New Roman" w:cs="Times New Roman"/>
          <w:sz w:val="28"/>
          <w:szCs w:val="28"/>
        </w:rPr>
        <w:t xml:space="preserve"> городском округе» (</w:t>
      </w:r>
      <w:r w:rsidR="00A25268" w:rsidRPr="00EC20F8">
        <w:rPr>
          <w:rFonts w:ascii="Times New Roman" w:hAnsi="Times New Roman" w:cs="Times New Roman"/>
          <w:sz w:val="28"/>
          <w:szCs w:val="28"/>
        </w:rPr>
        <w:t xml:space="preserve">подпрограмма 2 «Молодежь </w:t>
      </w:r>
      <w:proofErr w:type="spellStart"/>
      <w:r w:rsidR="00A25268" w:rsidRPr="00EC20F8">
        <w:rPr>
          <w:rFonts w:ascii="Times New Roman" w:hAnsi="Times New Roman" w:cs="Times New Roman"/>
          <w:sz w:val="28"/>
          <w:szCs w:val="28"/>
        </w:rPr>
        <w:t>Петропавловск-Камчатского</w:t>
      </w:r>
      <w:proofErr w:type="spellEnd"/>
      <w:r w:rsidR="00A25268" w:rsidRPr="00EC20F8">
        <w:rPr>
          <w:rFonts w:ascii="Times New Roman" w:hAnsi="Times New Roman" w:cs="Times New Roman"/>
          <w:sz w:val="28"/>
          <w:szCs w:val="28"/>
        </w:rPr>
        <w:t xml:space="preserve"> городского округа»</w:t>
      </w:r>
      <w:r w:rsidR="00CB61DE" w:rsidRPr="00EC20F8">
        <w:rPr>
          <w:rFonts w:ascii="Times New Roman" w:hAnsi="Times New Roman" w:cs="Times New Roman"/>
          <w:sz w:val="28"/>
          <w:szCs w:val="28"/>
        </w:rPr>
        <w:t>)</w:t>
      </w:r>
      <w:r w:rsidR="00A25268" w:rsidRPr="00EC20F8">
        <w:rPr>
          <w:rFonts w:ascii="Times New Roman" w:hAnsi="Times New Roman" w:cs="Times New Roman"/>
          <w:sz w:val="28"/>
          <w:szCs w:val="28"/>
        </w:rPr>
        <w:t>.</w:t>
      </w:r>
    </w:p>
    <w:p w:rsidR="000663EB" w:rsidRPr="00EC20F8" w:rsidRDefault="000663EB" w:rsidP="000663EB">
      <w:pPr>
        <w:autoSpaceDE w:val="0"/>
        <w:autoSpaceDN w:val="0"/>
        <w:adjustRightInd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В результате проведения </w:t>
      </w:r>
      <w:r w:rsidR="00A25268" w:rsidRPr="00EC20F8">
        <w:rPr>
          <w:rFonts w:ascii="Times New Roman" w:hAnsi="Times New Roman" w:cs="Times New Roman"/>
          <w:sz w:val="28"/>
          <w:szCs w:val="28"/>
        </w:rPr>
        <w:t xml:space="preserve">программных </w:t>
      </w:r>
      <w:r w:rsidRPr="00EC20F8">
        <w:rPr>
          <w:rFonts w:ascii="Times New Roman" w:hAnsi="Times New Roman" w:cs="Times New Roman"/>
          <w:sz w:val="28"/>
          <w:szCs w:val="28"/>
        </w:rPr>
        <w:t>мероприятий увеличится количество реализованных молодежных мероприятий и проектов, проводимых с привлечением молодежных общественных и добровольческих организаций и объединений; увеличится количество детей и молодежи, отправленных в профильные лагеря, а также несовершеннолетних «группы риска», направленных в профилактические лагеря. Увеличится количество трудоустроенных несовершеннолетних на дополнительных рабочих местах в трудовых отрядах «Молодой Петропавловск», а также несовершеннолетних, оказавшихся в трудной жизненной ситуации (из числа сирот, оставшихся без попечения родителей, «группы риска», спецкатегории) и т.д.</w:t>
      </w:r>
    </w:p>
    <w:p w:rsidR="000663EB" w:rsidRPr="00EC20F8" w:rsidRDefault="000663EB" w:rsidP="000663EB">
      <w:pPr>
        <w:spacing w:line="240" w:lineRule="auto"/>
        <w:jc w:val="both"/>
        <w:rPr>
          <w:rFonts w:ascii="Times New Roman" w:hAnsi="Times New Roman" w:cs="Times New Roman"/>
          <w:sz w:val="24"/>
          <w:szCs w:val="24"/>
        </w:rPr>
      </w:pPr>
    </w:p>
    <w:p w:rsidR="000663EB" w:rsidRPr="00EC20F8" w:rsidRDefault="000663EB" w:rsidP="000663EB">
      <w:pPr>
        <w:pStyle w:val="1"/>
        <w:ind w:firstLine="709"/>
      </w:pPr>
      <w:bookmarkStart w:id="107" w:name="_Toc368930217"/>
      <w:bookmarkStart w:id="108" w:name="_Toc368930841"/>
      <w:bookmarkStart w:id="109" w:name="_Toc368988900"/>
      <w:bookmarkStart w:id="110" w:name="_Toc400529679"/>
      <w:r w:rsidRPr="00EC20F8">
        <w:t>16. Здравоохранение</w:t>
      </w:r>
      <w:bookmarkEnd w:id="107"/>
      <w:bookmarkEnd w:id="108"/>
      <w:bookmarkEnd w:id="109"/>
      <w:bookmarkEnd w:id="110"/>
    </w:p>
    <w:p w:rsidR="000663EB" w:rsidRPr="00EC20F8" w:rsidRDefault="000663EB" w:rsidP="000663EB">
      <w:pPr>
        <w:spacing w:line="240" w:lineRule="auto"/>
        <w:ind w:firstLine="709"/>
      </w:pPr>
    </w:p>
    <w:p w:rsidR="000663EB" w:rsidRPr="00EC20F8" w:rsidRDefault="000663EB" w:rsidP="000663EB">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На территории городского округа функционируют 14 больничных и 25 амбулаторно-поликлинических организаций. Мощность амбулаторно-поликлинических организаций по городскому округу в 2013 году составила  4 993 человека, что на 0,18 % меньше к предыдущему году. Число больничных коек в организациях здравоохранения по городскому округу в 2013 году увеличилось по отношению к предыдущему году на 0,25 % и составило 2 766 коек. Обеспеченность населения больничными койками в организациях здравоохранения по городскому округу на 10 000 человек в 2012 году составляла 151,9 единиц, в 2013 г</w:t>
      </w:r>
      <w:r w:rsidR="000C62EF" w:rsidRPr="00EC20F8">
        <w:rPr>
          <w:rFonts w:ascii="Times New Roman" w:hAnsi="Times New Roman" w:cs="Times New Roman"/>
          <w:sz w:val="28"/>
          <w:szCs w:val="28"/>
        </w:rPr>
        <w:t>оду – 151,4;</w:t>
      </w:r>
      <w:r w:rsidRPr="00EC20F8">
        <w:rPr>
          <w:rFonts w:ascii="Times New Roman" w:hAnsi="Times New Roman" w:cs="Times New Roman"/>
          <w:sz w:val="28"/>
          <w:szCs w:val="28"/>
        </w:rPr>
        <w:t xml:space="preserve"> численность населения на одну больничную койку в 2013 году выросла на 0,46 % и составила 66,1 человек. </w:t>
      </w:r>
    </w:p>
    <w:p w:rsidR="000663EB" w:rsidRPr="00EC20F8" w:rsidRDefault="00F63E12" w:rsidP="000663EB">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В</w:t>
      </w:r>
      <w:r w:rsidR="000663EB" w:rsidRPr="00EC20F8">
        <w:rPr>
          <w:rFonts w:ascii="Times New Roman" w:hAnsi="Times New Roman" w:cs="Times New Roman"/>
          <w:sz w:val="28"/>
          <w:szCs w:val="28"/>
        </w:rPr>
        <w:t xml:space="preserve"> 2013 году </w:t>
      </w:r>
      <w:r w:rsidRPr="00EC20F8">
        <w:rPr>
          <w:rFonts w:ascii="Times New Roman" w:hAnsi="Times New Roman" w:cs="Times New Roman"/>
          <w:sz w:val="28"/>
          <w:szCs w:val="28"/>
        </w:rPr>
        <w:t xml:space="preserve">в городском округе </w:t>
      </w:r>
      <w:r w:rsidR="000C62EF" w:rsidRPr="00EC20F8">
        <w:rPr>
          <w:rFonts w:ascii="Times New Roman" w:hAnsi="Times New Roman" w:cs="Times New Roman"/>
          <w:sz w:val="28"/>
          <w:szCs w:val="28"/>
        </w:rPr>
        <w:t xml:space="preserve">увеличилось </w:t>
      </w:r>
      <w:r w:rsidRPr="00EC20F8">
        <w:rPr>
          <w:rFonts w:ascii="Times New Roman" w:hAnsi="Times New Roman" w:cs="Times New Roman"/>
          <w:sz w:val="28"/>
          <w:szCs w:val="28"/>
        </w:rPr>
        <w:t xml:space="preserve">число врачей </w:t>
      </w:r>
      <w:r w:rsidR="000C62EF" w:rsidRPr="00EC20F8">
        <w:rPr>
          <w:rFonts w:ascii="Times New Roman" w:hAnsi="Times New Roman" w:cs="Times New Roman"/>
          <w:sz w:val="28"/>
          <w:szCs w:val="28"/>
        </w:rPr>
        <w:t>и составило</w:t>
      </w:r>
      <w:r w:rsidR="000663EB" w:rsidRPr="00EC20F8">
        <w:rPr>
          <w:rFonts w:ascii="Times New Roman" w:hAnsi="Times New Roman" w:cs="Times New Roman"/>
          <w:sz w:val="28"/>
          <w:szCs w:val="28"/>
        </w:rPr>
        <w:t xml:space="preserve"> 1</w:t>
      </w:r>
      <w:r w:rsidR="000C62EF" w:rsidRPr="00EC20F8">
        <w:rPr>
          <w:rFonts w:ascii="Times New Roman" w:hAnsi="Times New Roman" w:cs="Times New Roman"/>
          <w:sz w:val="28"/>
          <w:szCs w:val="28"/>
        </w:rPr>
        <w:t> </w:t>
      </w:r>
      <w:r w:rsidR="000663EB" w:rsidRPr="00EC20F8">
        <w:rPr>
          <w:rFonts w:ascii="Times New Roman" w:hAnsi="Times New Roman" w:cs="Times New Roman"/>
          <w:sz w:val="28"/>
          <w:szCs w:val="28"/>
        </w:rPr>
        <w:t>118</w:t>
      </w:r>
      <w:r w:rsidR="000C62EF" w:rsidRPr="00EC20F8">
        <w:rPr>
          <w:rFonts w:ascii="Times New Roman" w:hAnsi="Times New Roman" w:cs="Times New Roman"/>
          <w:sz w:val="28"/>
          <w:szCs w:val="28"/>
        </w:rPr>
        <w:t xml:space="preserve"> человек</w:t>
      </w:r>
      <w:r w:rsidRPr="00EC20F8">
        <w:rPr>
          <w:rFonts w:ascii="Times New Roman" w:hAnsi="Times New Roman" w:cs="Times New Roman"/>
          <w:sz w:val="28"/>
          <w:szCs w:val="28"/>
        </w:rPr>
        <w:t xml:space="preserve"> (в 2012 году – 1 098)</w:t>
      </w:r>
      <w:r w:rsidR="000663EB" w:rsidRPr="00EC20F8">
        <w:rPr>
          <w:rFonts w:ascii="Times New Roman" w:hAnsi="Times New Roman" w:cs="Times New Roman"/>
          <w:sz w:val="28"/>
          <w:szCs w:val="28"/>
        </w:rPr>
        <w:t xml:space="preserve">, численность населения на одного врача в 2013 году составила 163,4 человека, снизившись по сравнению с предыдущим годом на 1,2 %. </w:t>
      </w:r>
    </w:p>
    <w:p w:rsidR="000663EB" w:rsidRPr="00EC20F8" w:rsidRDefault="000663EB" w:rsidP="000663EB">
      <w:pPr>
        <w:tabs>
          <w:tab w:val="left" w:pos="709"/>
        </w:tabs>
        <w:spacing w:line="240" w:lineRule="auto"/>
        <w:ind w:firstLine="709"/>
        <w:jc w:val="both"/>
        <w:rPr>
          <w:rFonts w:ascii="Times New Roman" w:hAnsi="Times New Roman" w:cs="Times New Roman"/>
          <w:i/>
          <w:iCs/>
          <w:sz w:val="24"/>
          <w:szCs w:val="24"/>
        </w:rPr>
      </w:pPr>
      <w:proofErr w:type="gramStart"/>
      <w:r w:rsidRPr="00EC20F8">
        <w:rPr>
          <w:rFonts w:ascii="Times New Roman" w:hAnsi="Times New Roman" w:cs="Times New Roman"/>
          <w:sz w:val="28"/>
          <w:szCs w:val="28"/>
        </w:rPr>
        <w:t xml:space="preserve">Основными направлениями политики развития городского округа в сфере сбережения здоровья населения является охрана труда, пропаганда здорового образа жизни, охрана окружающей среды, организация охраны общественного порядка, обеспечение безопасности на дорогах. </w:t>
      </w:r>
      <w:proofErr w:type="gramEnd"/>
    </w:p>
    <w:p w:rsidR="000663EB" w:rsidRPr="00EC20F8" w:rsidRDefault="000663EB" w:rsidP="000663EB">
      <w:pPr>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Важнейшим приоритетом развития человеческого потенциала в городском округе является улучшение качества социальной среды и здоровья населения, выход на стабильные демографические показатели и повышение продолжительности жизни, возрождение массовой физической культуры и вовлечение населения в систематические занятия физической культурой и спортом.</w:t>
      </w:r>
      <w:proofErr w:type="gramEnd"/>
      <w:r w:rsidRPr="00EC20F8">
        <w:rPr>
          <w:rFonts w:ascii="Times New Roman" w:hAnsi="Times New Roman" w:cs="Times New Roman"/>
          <w:sz w:val="28"/>
          <w:szCs w:val="28"/>
        </w:rPr>
        <w:t xml:space="preserve"> Укрепление физического здоровья молодого поколения и в целом населения городского округа должно проходить на базе удобной и многофункциональной инфраструктуры физической культуры и спорта. </w:t>
      </w:r>
    </w:p>
    <w:p w:rsidR="000663EB" w:rsidRPr="00EC20F8" w:rsidRDefault="000663EB" w:rsidP="00663F57">
      <w:pPr>
        <w:widowControl w:val="0"/>
        <w:spacing w:line="240" w:lineRule="auto"/>
        <w:ind w:firstLine="709"/>
        <w:jc w:val="both"/>
        <w:rPr>
          <w:rFonts w:ascii="Times New Roman" w:hAnsi="Times New Roman" w:cs="Times New Roman"/>
          <w:sz w:val="28"/>
          <w:szCs w:val="28"/>
        </w:rPr>
      </w:pPr>
    </w:p>
    <w:p w:rsidR="004871C3" w:rsidRPr="00EC20F8" w:rsidRDefault="00C01508" w:rsidP="00282B2C">
      <w:pPr>
        <w:pStyle w:val="1"/>
        <w:rPr>
          <w:b w:val="0"/>
        </w:rPr>
      </w:pPr>
      <w:bookmarkStart w:id="111" w:name="_Toc400529680"/>
      <w:bookmarkEnd w:id="1"/>
      <w:bookmarkEnd w:id="2"/>
      <w:bookmarkEnd w:id="3"/>
      <w:r w:rsidRPr="00EC20F8">
        <w:t>17.</w:t>
      </w:r>
      <w:r w:rsidR="004871C3" w:rsidRPr="00EC20F8">
        <w:t xml:space="preserve"> </w:t>
      </w:r>
      <w:r w:rsidR="00CE7F59" w:rsidRPr="00EC20F8">
        <w:t>Б</w:t>
      </w:r>
      <w:r w:rsidR="004871C3" w:rsidRPr="00EC20F8">
        <w:t>юджет</w:t>
      </w:r>
      <w:r w:rsidR="00CE7F59" w:rsidRPr="00EC20F8">
        <w:t xml:space="preserve"> и финансовые ресурсы</w:t>
      </w:r>
      <w:bookmarkEnd w:id="111"/>
    </w:p>
    <w:p w:rsidR="004871C3" w:rsidRPr="00EC20F8" w:rsidRDefault="004871C3" w:rsidP="004871C3">
      <w:pPr>
        <w:rPr>
          <w:rFonts w:ascii="Times New Roman" w:hAnsi="Times New Roman" w:cs="Times New Roman"/>
          <w:sz w:val="28"/>
          <w:szCs w:val="28"/>
        </w:rPr>
      </w:pPr>
    </w:p>
    <w:p w:rsidR="004871C3" w:rsidRPr="00EC20F8" w:rsidRDefault="00E64E42" w:rsidP="004871C3">
      <w:pPr>
        <w:shd w:val="clear" w:color="auto" w:fill="FFFFFF"/>
        <w:ind w:right="-2" w:firstLine="709"/>
        <w:jc w:val="both"/>
        <w:rPr>
          <w:rFonts w:ascii="Times New Roman" w:hAnsi="Times New Roman" w:cs="Times New Roman"/>
          <w:sz w:val="28"/>
          <w:szCs w:val="28"/>
        </w:rPr>
      </w:pPr>
      <w:r w:rsidRPr="00EC20F8">
        <w:rPr>
          <w:rFonts w:ascii="Times New Roman" w:hAnsi="Times New Roman" w:cs="Times New Roman"/>
          <w:spacing w:val="-8"/>
          <w:sz w:val="28"/>
          <w:szCs w:val="28"/>
        </w:rPr>
        <w:t>В бюджет Петропавловск-</w:t>
      </w:r>
      <w:r w:rsidR="004871C3" w:rsidRPr="00EC20F8">
        <w:rPr>
          <w:rFonts w:ascii="Times New Roman" w:hAnsi="Times New Roman" w:cs="Times New Roman"/>
          <w:spacing w:val="-8"/>
          <w:sz w:val="28"/>
          <w:szCs w:val="28"/>
        </w:rPr>
        <w:t xml:space="preserve">Камчатского </w:t>
      </w:r>
      <w:r w:rsidR="004871C3" w:rsidRPr="00EC20F8">
        <w:rPr>
          <w:rFonts w:ascii="Times New Roman" w:hAnsi="Times New Roman" w:cs="Times New Roman"/>
          <w:spacing w:val="-5"/>
          <w:sz w:val="28"/>
          <w:szCs w:val="28"/>
        </w:rPr>
        <w:t xml:space="preserve">городского округа (далее - бюджет городского округа) поступило налоговых и неналоговых доходов </w:t>
      </w:r>
      <w:r w:rsidR="004871C3" w:rsidRPr="00EC20F8">
        <w:rPr>
          <w:rFonts w:ascii="Times New Roman" w:hAnsi="Times New Roman" w:cs="Times New Roman"/>
          <w:spacing w:val="-8"/>
          <w:sz w:val="28"/>
          <w:szCs w:val="28"/>
        </w:rPr>
        <w:t xml:space="preserve">за 2013 год </w:t>
      </w:r>
      <w:r w:rsidR="004871C3" w:rsidRPr="00EC20F8">
        <w:rPr>
          <w:rFonts w:ascii="Times New Roman" w:hAnsi="Times New Roman" w:cs="Times New Roman"/>
          <w:spacing w:val="-5"/>
          <w:sz w:val="28"/>
          <w:szCs w:val="28"/>
        </w:rPr>
        <w:t xml:space="preserve">в сумме 4 807,097 </w:t>
      </w:r>
      <w:proofErr w:type="spellStart"/>
      <w:proofErr w:type="gramStart"/>
      <w:r w:rsidR="00153BA5" w:rsidRPr="00EC20F8">
        <w:rPr>
          <w:rFonts w:ascii="Times New Roman" w:hAnsi="Times New Roman" w:cs="Times New Roman"/>
          <w:spacing w:val="-5"/>
          <w:sz w:val="28"/>
          <w:szCs w:val="28"/>
        </w:rPr>
        <w:t>млн</w:t>
      </w:r>
      <w:proofErr w:type="spellEnd"/>
      <w:proofErr w:type="gramEnd"/>
      <w:r w:rsidR="00153BA5" w:rsidRPr="00EC20F8">
        <w:rPr>
          <w:rFonts w:ascii="Times New Roman" w:hAnsi="Times New Roman" w:cs="Times New Roman"/>
          <w:spacing w:val="-5"/>
          <w:sz w:val="28"/>
          <w:szCs w:val="28"/>
        </w:rPr>
        <w:t xml:space="preserve"> рублей</w:t>
      </w:r>
      <w:r w:rsidR="004871C3" w:rsidRPr="00EC20F8">
        <w:rPr>
          <w:rFonts w:ascii="Times New Roman" w:hAnsi="Times New Roman" w:cs="Times New Roman"/>
          <w:spacing w:val="-5"/>
          <w:sz w:val="28"/>
          <w:szCs w:val="28"/>
        </w:rPr>
        <w:t xml:space="preserve">, что составило 100,2 </w:t>
      </w:r>
      <w:r w:rsidR="00FA7827" w:rsidRPr="00EC20F8">
        <w:rPr>
          <w:rFonts w:ascii="Times New Roman" w:hAnsi="Times New Roman" w:cs="Times New Roman"/>
          <w:spacing w:val="-5"/>
          <w:sz w:val="28"/>
          <w:szCs w:val="28"/>
        </w:rPr>
        <w:t>%</w:t>
      </w:r>
      <w:r w:rsidR="004871C3" w:rsidRPr="00EC20F8">
        <w:rPr>
          <w:rFonts w:ascii="Times New Roman" w:hAnsi="Times New Roman" w:cs="Times New Roman"/>
          <w:spacing w:val="-5"/>
          <w:sz w:val="28"/>
          <w:szCs w:val="28"/>
        </w:rPr>
        <w:t xml:space="preserve"> прогнозного объема поступлений,</w:t>
      </w:r>
      <w:r w:rsidR="004871C3" w:rsidRPr="00EC20F8">
        <w:rPr>
          <w:rFonts w:ascii="Times New Roman" w:hAnsi="Times New Roman" w:cs="Times New Roman"/>
          <w:spacing w:val="-9"/>
          <w:sz w:val="28"/>
          <w:szCs w:val="28"/>
        </w:rPr>
        <w:t xml:space="preserve"> </w:t>
      </w:r>
      <w:r w:rsidR="004871C3" w:rsidRPr="00EC20F8">
        <w:rPr>
          <w:rFonts w:ascii="Times New Roman" w:hAnsi="Times New Roman" w:cs="Times New Roman"/>
          <w:spacing w:val="-5"/>
          <w:sz w:val="28"/>
          <w:szCs w:val="28"/>
        </w:rPr>
        <w:t xml:space="preserve">темп роста к </w:t>
      </w:r>
      <w:r w:rsidR="004871C3" w:rsidRPr="00EC20F8">
        <w:rPr>
          <w:rFonts w:ascii="Times New Roman" w:hAnsi="Times New Roman" w:cs="Times New Roman"/>
          <w:spacing w:val="1"/>
          <w:sz w:val="28"/>
          <w:szCs w:val="28"/>
        </w:rPr>
        <w:t xml:space="preserve">2012 году составил 112,3 </w:t>
      </w:r>
      <w:r w:rsidR="00FA7827" w:rsidRPr="00EC20F8">
        <w:rPr>
          <w:rFonts w:ascii="Times New Roman" w:hAnsi="Times New Roman" w:cs="Times New Roman"/>
          <w:spacing w:val="1"/>
          <w:sz w:val="28"/>
          <w:szCs w:val="28"/>
        </w:rPr>
        <w:t>%</w:t>
      </w:r>
      <w:r w:rsidR="004871C3" w:rsidRPr="00EC20F8">
        <w:rPr>
          <w:rFonts w:ascii="Times New Roman" w:hAnsi="Times New Roman" w:cs="Times New Roman"/>
          <w:spacing w:val="-9"/>
          <w:sz w:val="28"/>
          <w:szCs w:val="28"/>
        </w:rPr>
        <w:t xml:space="preserve">. </w:t>
      </w:r>
    </w:p>
    <w:p w:rsidR="004871C3" w:rsidRPr="00EC20F8" w:rsidRDefault="004871C3" w:rsidP="004871C3">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Поступления налогов, сборов и платежей в бюджетную систему Российской Федерации консолидируемых на территории городского округа с учетом поступлений в государственные социальные внебюджетные фонды в 2013 году составили 13 433,0 </w:t>
      </w:r>
      <w:proofErr w:type="spellStart"/>
      <w:proofErr w:type="gramStart"/>
      <w:r w:rsidR="00153BA5" w:rsidRPr="00EC20F8">
        <w:rPr>
          <w:rFonts w:ascii="Times New Roman" w:hAnsi="Times New Roman" w:cs="Times New Roman"/>
          <w:sz w:val="28"/>
          <w:szCs w:val="28"/>
        </w:rPr>
        <w:t>млн</w:t>
      </w:r>
      <w:proofErr w:type="spellEnd"/>
      <w:proofErr w:type="gramEnd"/>
      <w:r w:rsidR="00153BA5" w:rsidRPr="00EC20F8">
        <w:rPr>
          <w:rFonts w:ascii="Times New Roman" w:hAnsi="Times New Roman" w:cs="Times New Roman"/>
          <w:sz w:val="28"/>
          <w:szCs w:val="28"/>
        </w:rPr>
        <w:t xml:space="preserve"> рублей</w:t>
      </w:r>
      <w:r w:rsidRPr="00EC20F8">
        <w:rPr>
          <w:rFonts w:ascii="Times New Roman" w:hAnsi="Times New Roman" w:cs="Times New Roman"/>
          <w:sz w:val="28"/>
          <w:szCs w:val="28"/>
        </w:rPr>
        <w:t xml:space="preserve">, что больше аналогичного показателя 2012 года на 230,0 </w:t>
      </w:r>
      <w:proofErr w:type="spellStart"/>
      <w:r w:rsidR="00153BA5" w:rsidRPr="00EC20F8">
        <w:rPr>
          <w:rFonts w:ascii="Times New Roman" w:hAnsi="Times New Roman" w:cs="Times New Roman"/>
          <w:sz w:val="28"/>
          <w:szCs w:val="28"/>
        </w:rPr>
        <w:t>млн</w:t>
      </w:r>
      <w:proofErr w:type="spellEnd"/>
      <w:r w:rsidR="00153BA5" w:rsidRPr="00EC20F8">
        <w:rPr>
          <w:rFonts w:ascii="Times New Roman" w:hAnsi="Times New Roman" w:cs="Times New Roman"/>
          <w:sz w:val="28"/>
          <w:szCs w:val="28"/>
        </w:rPr>
        <w:t xml:space="preserve"> рублей</w:t>
      </w:r>
      <w:r w:rsidRPr="00EC20F8">
        <w:rPr>
          <w:rFonts w:ascii="Times New Roman" w:hAnsi="Times New Roman" w:cs="Times New Roman"/>
          <w:sz w:val="28"/>
          <w:szCs w:val="28"/>
        </w:rPr>
        <w:t xml:space="preserve"> или на 1,7 </w:t>
      </w:r>
      <w:r w:rsidR="00960E11" w:rsidRPr="00EC20F8">
        <w:rPr>
          <w:rFonts w:ascii="Times New Roman" w:hAnsi="Times New Roman" w:cs="Times New Roman"/>
          <w:sz w:val="28"/>
          <w:szCs w:val="28"/>
        </w:rPr>
        <w:t>%</w:t>
      </w:r>
      <w:r w:rsidRPr="00EC20F8">
        <w:rPr>
          <w:rFonts w:ascii="Times New Roman" w:hAnsi="Times New Roman" w:cs="Times New Roman"/>
          <w:sz w:val="28"/>
          <w:szCs w:val="28"/>
        </w:rPr>
        <w:t xml:space="preserve"> (поступления 2012 года – 13 203 </w:t>
      </w:r>
      <w:proofErr w:type="spellStart"/>
      <w:r w:rsidR="00153BA5" w:rsidRPr="00EC20F8">
        <w:rPr>
          <w:rFonts w:ascii="Times New Roman" w:hAnsi="Times New Roman" w:cs="Times New Roman"/>
          <w:sz w:val="28"/>
          <w:szCs w:val="28"/>
        </w:rPr>
        <w:t>млн</w:t>
      </w:r>
      <w:proofErr w:type="spellEnd"/>
      <w:r w:rsidR="00153BA5" w:rsidRPr="00EC20F8">
        <w:rPr>
          <w:rFonts w:ascii="Times New Roman" w:hAnsi="Times New Roman" w:cs="Times New Roman"/>
          <w:sz w:val="28"/>
          <w:szCs w:val="28"/>
        </w:rPr>
        <w:t xml:space="preserve"> рублей</w:t>
      </w:r>
      <w:r w:rsidRPr="00EC20F8">
        <w:rPr>
          <w:rFonts w:ascii="Times New Roman" w:hAnsi="Times New Roman" w:cs="Times New Roman"/>
          <w:sz w:val="28"/>
          <w:szCs w:val="28"/>
        </w:rPr>
        <w:t xml:space="preserve">).  </w:t>
      </w:r>
    </w:p>
    <w:p w:rsidR="004871C3" w:rsidRPr="00EC20F8" w:rsidRDefault="004871C3" w:rsidP="004871C3">
      <w:pPr>
        <w:ind w:firstLine="709"/>
        <w:jc w:val="both"/>
        <w:rPr>
          <w:rFonts w:ascii="Times New Roman" w:hAnsi="Times New Roman" w:cs="Times New Roman"/>
          <w:b/>
          <w:bCs/>
          <w:sz w:val="28"/>
          <w:szCs w:val="28"/>
        </w:rPr>
      </w:pPr>
    </w:p>
    <w:p w:rsidR="004871C3" w:rsidRPr="00EC20F8" w:rsidRDefault="004871C3" w:rsidP="00990336">
      <w:pPr>
        <w:pStyle w:val="af2"/>
        <w:ind w:left="0" w:firstLine="709"/>
        <w:jc w:val="both"/>
        <w:rPr>
          <w:b/>
          <w:highlight w:val="yellow"/>
        </w:rPr>
      </w:pPr>
      <w:r w:rsidRPr="00EC20F8">
        <w:rPr>
          <w:b/>
          <w:noProof/>
        </w:rPr>
        <w:drawing>
          <wp:inline distT="0" distB="0" distL="0" distR="0">
            <wp:extent cx="5191125" cy="2066925"/>
            <wp:effectExtent l="19050" t="0" r="9525" b="0"/>
            <wp:docPr id="11"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4871C3" w:rsidRPr="00EC20F8" w:rsidRDefault="00737AD6" w:rsidP="004871C3">
      <w:pPr>
        <w:ind w:firstLine="709"/>
        <w:jc w:val="both"/>
        <w:rPr>
          <w:rFonts w:ascii="Times New Roman" w:hAnsi="Times New Roman" w:cs="Times New Roman"/>
          <w:sz w:val="24"/>
          <w:szCs w:val="24"/>
        </w:rPr>
      </w:pPr>
      <w:r w:rsidRPr="00EC20F8">
        <w:rPr>
          <w:rFonts w:ascii="Times New Roman" w:hAnsi="Times New Roman" w:cs="Times New Roman"/>
          <w:i/>
          <w:sz w:val="24"/>
          <w:szCs w:val="24"/>
        </w:rPr>
        <w:t xml:space="preserve">Рис. 17.1. </w:t>
      </w:r>
      <w:r w:rsidRPr="00EC20F8">
        <w:rPr>
          <w:rFonts w:ascii="Times New Roman" w:hAnsi="Times New Roman" w:cs="Times New Roman"/>
          <w:i/>
          <w:sz w:val="24"/>
          <w:szCs w:val="24"/>
        </w:rPr>
        <w:tab/>
        <w:t>Поступление налогов, сборов и платежей в бюджетную систему Российской Федерации, консолидируемых на территории городского округа, в 2013 году</w:t>
      </w:r>
      <w:r w:rsidR="004871C3" w:rsidRPr="00EC20F8">
        <w:rPr>
          <w:rFonts w:ascii="Times New Roman" w:hAnsi="Times New Roman" w:cs="Times New Roman"/>
          <w:sz w:val="24"/>
          <w:szCs w:val="24"/>
        </w:rPr>
        <w:tab/>
      </w:r>
    </w:p>
    <w:p w:rsidR="004871C3" w:rsidRPr="00EC20F8" w:rsidRDefault="004871C3" w:rsidP="004871C3">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В общем объеме налоговых поступлений удельный вес федерального бюджета составил 15,5 </w:t>
      </w:r>
      <w:r w:rsidR="00960E11" w:rsidRPr="00EC20F8">
        <w:rPr>
          <w:rFonts w:ascii="Times New Roman" w:hAnsi="Times New Roman" w:cs="Times New Roman"/>
          <w:sz w:val="28"/>
          <w:szCs w:val="28"/>
        </w:rPr>
        <w:t>%</w:t>
      </w:r>
      <w:r w:rsidRPr="00EC20F8">
        <w:rPr>
          <w:rFonts w:ascii="Times New Roman" w:hAnsi="Times New Roman" w:cs="Times New Roman"/>
          <w:sz w:val="28"/>
          <w:szCs w:val="28"/>
        </w:rPr>
        <w:t xml:space="preserve">, уменьшение поступлений к уровню прошлого года составило 2,5 </w:t>
      </w:r>
      <w:r w:rsidR="00960E11" w:rsidRPr="00EC20F8">
        <w:rPr>
          <w:rFonts w:ascii="Times New Roman" w:hAnsi="Times New Roman" w:cs="Times New Roman"/>
          <w:sz w:val="28"/>
          <w:szCs w:val="28"/>
        </w:rPr>
        <w:t>%</w:t>
      </w:r>
      <w:r w:rsidRPr="00EC20F8">
        <w:rPr>
          <w:rFonts w:ascii="Times New Roman" w:hAnsi="Times New Roman" w:cs="Times New Roman"/>
          <w:sz w:val="28"/>
          <w:szCs w:val="28"/>
        </w:rPr>
        <w:t>.</w:t>
      </w:r>
    </w:p>
    <w:p w:rsidR="004871C3" w:rsidRPr="00EC20F8" w:rsidRDefault="004871C3" w:rsidP="004871C3">
      <w:pPr>
        <w:ind w:firstLine="709"/>
        <w:jc w:val="both"/>
        <w:rPr>
          <w:rFonts w:ascii="Times New Roman" w:hAnsi="Times New Roman" w:cs="Times New Roman"/>
          <w:sz w:val="28"/>
          <w:szCs w:val="28"/>
        </w:rPr>
      </w:pPr>
      <w:r w:rsidRPr="00EC20F8">
        <w:rPr>
          <w:rFonts w:ascii="Times New Roman" w:hAnsi="Times New Roman" w:cs="Times New Roman"/>
          <w:sz w:val="28"/>
          <w:szCs w:val="28"/>
        </w:rPr>
        <w:t>Наибольший удельный вес в общем объеме налоговых поступлений составляют поступления в консолидированный бюджет Камчатского края – 84,1</w:t>
      </w:r>
      <w:r w:rsidR="00960E11" w:rsidRPr="00EC20F8">
        <w:rPr>
          <w:rFonts w:ascii="Times New Roman" w:hAnsi="Times New Roman" w:cs="Times New Roman"/>
          <w:sz w:val="28"/>
          <w:szCs w:val="28"/>
        </w:rPr>
        <w:t xml:space="preserve"> %</w:t>
      </w:r>
      <w:r w:rsidRPr="00EC20F8">
        <w:rPr>
          <w:rFonts w:ascii="Times New Roman" w:hAnsi="Times New Roman" w:cs="Times New Roman"/>
          <w:sz w:val="28"/>
          <w:szCs w:val="28"/>
        </w:rPr>
        <w:t>, в том числе:</w:t>
      </w:r>
    </w:p>
    <w:p w:rsidR="004871C3" w:rsidRPr="00EC20F8" w:rsidRDefault="004871C3" w:rsidP="004871C3">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в краевой бюджет – снижение к уровню прошлого года – 0,2 </w:t>
      </w:r>
      <w:r w:rsidR="00960E11" w:rsidRPr="00EC20F8">
        <w:rPr>
          <w:rFonts w:ascii="Times New Roman" w:hAnsi="Times New Roman" w:cs="Times New Roman"/>
          <w:sz w:val="28"/>
          <w:szCs w:val="28"/>
        </w:rPr>
        <w:t>%</w:t>
      </w:r>
      <w:r w:rsidRPr="00EC20F8">
        <w:rPr>
          <w:rFonts w:ascii="Times New Roman" w:hAnsi="Times New Roman" w:cs="Times New Roman"/>
          <w:sz w:val="28"/>
          <w:szCs w:val="28"/>
        </w:rPr>
        <w:t xml:space="preserve">; </w:t>
      </w:r>
    </w:p>
    <w:p w:rsidR="004871C3" w:rsidRPr="00EC20F8" w:rsidRDefault="004871C3" w:rsidP="004871C3">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в бюджет городского округа – увеличение к уровню 2012 года на                       2,4 </w:t>
      </w:r>
      <w:r w:rsidR="00960E11" w:rsidRPr="00EC20F8">
        <w:rPr>
          <w:rFonts w:ascii="Times New Roman" w:hAnsi="Times New Roman" w:cs="Times New Roman"/>
          <w:sz w:val="28"/>
          <w:szCs w:val="28"/>
        </w:rPr>
        <w:t>%</w:t>
      </w:r>
      <w:r w:rsidRPr="00EC20F8">
        <w:rPr>
          <w:rFonts w:ascii="Times New Roman" w:hAnsi="Times New Roman" w:cs="Times New Roman"/>
          <w:sz w:val="28"/>
          <w:szCs w:val="28"/>
        </w:rPr>
        <w:t>.</w:t>
      </w:r>
    </w:p>
    <w:p w:rsidR="004871C3" w:rsidRPr="00EC20F8" w:rsidRDefault="004871C3" w:rsidP="004871C3">
      <w:pPr>
        <w:shd w:val="clear" w:color="auto" w:fill="FFFFFF"/>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Налоговые и неналоговые доходы составили 4807,098 </w:t>
      </w:r>
      <w:proofErr w:type="spellStart"/>
      <w:proofErr w:type="gramStart"/>
      <w:r w:rsidR="00153BA5" w:rsidRPr="00EC20F8">
        <w:rPr>
          <w:rFonts w:ascii="Times New Roman" w:hAnsi="Times New Roman" w:cs="Times New Roman"/>
          <w:sz w:val="28"/>
          <w:szCs w:val="28"/>
        </w:rPr>
        <w:t>млн</w:t>
      </w:r>
      <w:proofErr w:type="spellEnd"/>
      <w:proofErr w:type="gramEnd"/>
      <w:r w:rsidR="00153BA5" w:rsidRPr="00EC20F8">
        <w:rPr>
          <w:rFonts w:ascii="Times New Roman" w:hAnsi="Times New Roman" w:cs="Times New Roman"/>
          <w:sz w:val="28"/>
          <w:szCs w:val="28"/>
        </w:rPr>
        <w:t xml:space="preserve"> рублей</w:t>
      </w:r>
      <w:r w:rsidRPr="00EC20F8">
        <w:rPr>
          <w:rFonts w:ascii="Times New Roman" w:hAnsi="Times New Roman" w:cs="Times New Roman"/>
          <w:sz w:val="28"/>
          <w:szCs w:val="28"/>
        </w:rPr>
        <w:t xml:space="preserve"> и сформировали 45,1 </w:t>
      </w:r>
      <w:r w:rsidR="00960E11" w:rsidRPr="00EC20F8">
        <w:rPr>
          <w:rFonts w:ascii="Times New Roman" w:hAnsi="Times New Roman" w:cs="Times New Roman"/>
          <w:sz w:val="28"/>
          <w:szCs w:val="28"/>
        </w:rPr>
        <w:t>%</w:t>
      </w:r>
      <w:r w:rsidRPr="00EC20F8">
        <w:rPr>
          <w:rFonts w:ascii="Times New Roman" w:hAnsi="Times New Roman" w:cs="Times New Roman"/>
          <w:sz w:val="28"/>
          <w:szCs w:val="28"/>
        </w:rPr>
        <w:t xml:space="preserve"> всего бюджета городского округа в 2013 году, по оценке исполнения 2014 года этот показатель снизится до 36,4 </w:t>
      </w:r>
      <w:r w:rsidR="00960E11" w:rsidRPr="00EC20F8">
        <w:rPr>
          <w:rFonts w:ascii="Times New Roman" w:hAnsi="Times New Roman" w:cs="Times New Roman"/>
          <w:sz w:val="28"/>
          <w:szCs w:val="28"/>
        </w:rPr>
        <w:t>%</w:t>
      </w:r>
      <w:r w:rsidRPr="00EC20F8">
        <w:rPr>
          <w:rFonts w:ascii="Times New Roman" w:hAnsi="Times New Roman" w:cs="Times New Roman"/>
          <w:sz w:val="28"/>
          <w:szCs w:val="28"/>
        </w:rPr>
        <w:t xml:space="preserve">. </w:t>
      </w:r>
    </w:p>
    <w:p w:rsidR="004871C3" w:rsidRPr="00EC20F8" w:rsidRDefault="004871C3" w:rsidP="004871C3">
      <w:pPr>
        <w:shd w:val="clear" w:color="auto" w:fill="FFFFFF"/>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Главные </w:t>
      </w:r>
      <w:proofErr w:type="spellStart"/>
      <w:r w:rsidRPr="00EC20F8">
        <w:rPr>
          <w:rFonts w:ascii="Times New Roman" w:hAnsi="Times New Roman" w:cs="Times New Roman"/>
          <w:sz w:val="28"/>
          <w:szCs w:val="28"/>
        </w:rPr>
        <w:t>бюджетообразующие</w:t>
      </w:r>
      <w:proofErr w:type="spellEnd"/>
      <w:r w:rsidRPr="00EC20F8">
        <w:rPr>
          <w:rFonts w:ascii="Times New Roman" w:hAnsi="Times New Roman" w:cs="Times New Roman"/>
          <w:sz w:val="28"/>
          <w:szCs w:val="28"/>
        </w:rPr>
        <w:t xml:space="preserve"> группы налогов: налог на доходы физических лиц - с удельным весом в налоговых поступлениях в 2013 году -                76,0</w:t>
      </w:r>
      <w:r w:rsidR="00960E11" w:rsidRPr="00EC20F8">
        <w:rPr>
          <w:rFonts w:ascii="Times New Roman" w:hAnsi="Times New Roman" w:cs="Times New Roman"/>
          <w:sz w:val="28"/>
          <w:szCs w:val="28"/>
        </w:rPr>
        <w:t xml:space="preserve"> %</w:t>
      </w:r>
      <w:r w:rsidRPr="00EC20F8">
        <w:rPr>
          <w:rFonts w:ascii="Times New Roman" w:hAnsi="Times New Roman" w:cs="Times New Roman"/>
          <w:sz w:val="28"/>
          <w:szCs w:val="28"/>
        </w:rPr>
        <w:t xml:space="preserve">; единый налог на вмененный доход для отдельных видов деятельности – 8,0 </w:t>
      </w:r>
      <w:r w:rsidR="00960E11" w:rsidRPr="00EC20F8">
        <w:rPr>
          <w:rFonts w:ascii="Times New Roman" w:hAnsi="Times New Roman" w:cs="Times New Roman"/>
          <w:sz w:val="28"/>
          <w:szCs w:val="28"/>
        </w:rPr>
        <w:t>%</w:t>
      </w:r>
      <w:r w:rsidRPr="00EC20F8">
        <w:rPr>
          <w:rFonts w:ascii="Times New Roman" w:hAnsi="Times New Roman" w:cs="Times New Roman"/>
          <w:sz w:val="28"/>
          <w:szCs w:val="28"/>
        </w:rPr>
        <w:t xml:space="preserve">; налог на прибыль организаций – 5,7 </w:t>
      </w:r>
      <w:r w:rsidR="00960E11" w:rsidRPr="00EC20F8">
        <w:rPr>
          <w:rFonts w:ascii="Times New Roman" w:hAnsi="Times New Roman" w:cs="Times New Roman"/>
          <w:sz w:val="28"/>
          <w:szCs w:val="28"/>
        </w:rPr>
        <w:t>%</w:t>
      </w:r>
      <w:r w:rsidRPr="00EC20F8">
        <w:rPr>
          <w:rFonts w:ascii="Times New Roman" w:hAnsi="Times New Roman" w:cs="Times New Roman"/>
          <w:sz w:val="28"/>
          <w:szCs w:val="28"/>
        </w:rPr>
        <w:t xml:space="preserve">; земельный налог– 3,9 </w:t>
      </w:r>
      <w:r w:rsidR="00960E11" w:rsidRPr="00EC20F8">
        <w:rPr>
          <w:rFonts w:ascii="Times New Roman" w:hAnsi="Times New Roman" w:cs="Times New Roman"/>
          <w:sz w:val="28"/>
          <w:szCs w:val="28"/>
        </w:rPr>
        <w:t>%</w:t>
      </w:r>
      <w:r w:rsidRPr="00EC20F8">
        <w:rPr>
          <w:rFonts w:ascii="Times New Roman" w:hAnsi="Times New Roman" w:cs="Times New Roman"/>
          <w:sz w:val="28"/>
          <w:szCs w:val="28"/>
        </w:rPr>
        <w:t xml:space="preserve">; налог, взимаемый в связи с применением упрощенной системы налогообложения – 3,5 </w:t>
      </w:r>
      <w:r w:rsidR="00960E11" w:rsidRPr="00EC20F8">
        <w:rPr>
          <w:rFonts w:ascii="Times New Roman" w:hAnsi="Times New Roman" w:cs="Times New Roman"/>
          <w:sz w:val="28"/>
          <w:szCs w:val="28"/>
        </w:rPr>
        <w:t>%</w:t>
      </w:r>
      <w:r w:rsidRPr="00EC20F8">
        <w:rPr>
          <w:rFonts w:ascii="Times New Roman" w:hAnsi="Times New Roman" w:cs="Times New Roman"/>
          <w:sz w:val="28"/>
          <w:szCs w:val="28"/>
        </w:rPr>
        <w:t>;</w:t>
      </w:r>
      <w:proofErr w:type="gramEnd"/>
      <w:r w:rsidRPr="00EC20F8">
        <w:rPr>
          <w:rFonts w:ascii="Times New Roman" w:hAnsi="Times New Roman" w:cs="Times New Roman"/>
          <w:sz w:val="28"/>
          <w:szCs w:val="28"/>
        </w:rPr>
        <w:t xml:space="preserve"> 2,9 </w:t>
      </w:r>
      <w:r w:rsidR="00960E11" w:rsidRPr="00EC20F8">
        <w:rPr>
          <w:rFonts w:ascii="Times New Roman" w:hAnsi="Times New Roman" w:cs="Times New Roman"/>
          <w:sz w:val="28"/>
          <w:szCs w:val="28"/>
        </w:rPr>
        <w:t>%</w:t>
      </w:r>
      <w:r w:rsidRPr="00EC20F8">
        <w:rPr>
          <w:rFonts w:ascii="Times New Roman" w:hAnsi="Times New Roman" w:cs="Times New Roman"/>
          <w:sz w:val="28"/>
          <w:szCs w:val="28"/>
        </w:rPr>
        <w:t xml:space="preserve"> составили прочие налоговые доходы.</w:t>
      </w:r>
    </w:p>
    <w:p w:rsidR="004871C3" w:rsidRPr="00EC20F8" w:rsidRDefault="004871C3" w:rsidP="004871C3">
      <w:pPr>
        <w:shd w:val="clear" w:color="auto" w:fill="FFFFFF"/>
        <w:ind w:firstLine="709"/>
        <w:jc w:val="both"/>
        <w:rPr>
          <w:rFonts w:ascii="Times New Roman" w:hAnsi="Times New Roman" w:cs="Times New Roman"/>
          <w:sz w:val="28"/>
          <w:szCs w:val="28"/>
        </w:rPr>
      </w:pPr>
      <w:r w:rsidRPr="00EC20F8">
        <w:rPr>
          <w:rFonts w:ascii="Times New Roman" w:hAnsi="Times New Roman" w:cs="Times New Roman"/>
          <w:sz w:val="28"/>
          <w:szCs w:val="28"/>
        </w:rPr>
        <w:t>Наибольшими темпами к предыдущему году росли такие налоги как:</w:t>
      </w:r>
    </w:p>
    <w:p w:rsidR="004871C3" w:rsidRPr="00EC20F8" w:rsidRDefault="004871C3" w:rsidP="004871C3">
      <w:pPr>
        <w:numPr>
          <w:ilvl w:val="0"/>
          <w:numId w:val="10"/>
        </w:numPr>
        <w:shd w:val="clear" w:color="auto" w:fill="FFFFFF"/>
        <w:spacing w:line="240" w:lineRule="auto"/>
        <w:ind w:left="0" w:firstLine="709"/>
        <w:jc w:val="both"/>
        <w:rPr>
          <w:rFonts w:ascii="Times New Roman" w:hAnsi="Times New Roman" w:cs="Times New Roman"/>
          <w:sz w:val="28"/>
          <w:szCs w:val="28"/>
        </w:rPr>
      </w:pPr>
      <w:r w:rsidRPr="00EC20F8">
        <w:rPr>
          <w:rFonts w:ascii="Times New Roman" w:hAnsi="Times New Roman" w:cs="Times New Roman"/>
          <w:sz w:val="28"/>
          <w:szCs w:val="28"/>
        </w:rPr>
        <w:t>единый сельскохозяйственный налог – в 3,2 раза. Основной причиной роста дохода от уплаты единого сельскохозяйственного налога, явилось увеличение норматива распределения данного налога в бюджет г</w:t>
      </w:r>
      <w:r w:rsidR="00990E00" w:rsidRPr="00EC20F8">
        <w:rPr>
          <w:rFonts w:ascii="Times New Roman" w:hAnsi="Times New Roman" w:cs="Times New Roman"/>
          <w:sz w:val="28"/>
          <w:szCs w:val="28"/>
        </w:rPr>
        <w:t xml:space="preserve">ородского округа в 2013 году - </w:t>
      </w:r>
      <w:r w:rsidRPr="00EC20F8">
        <w:rPr>
          <w:rFonts w:ascii="Times New Roman" w:hAnsi="Times New Roman" w:cs="Times New Roman"/>
          <w:sz w:val="28"/>
          <w:szCs w:val="28"/>
        </w:rPr>
        <w:t xml:space="preserve">100 </w:t>
      </w:r>
      <w:r w:rsidR="00960E11" w:rsidRPr="00EC20F8">
        <w:rPr>
          <w:rFonts w:ascii="Times New Roman" w:hAnsi="Times New Roman" w:cs="Times New Roman"/>
          <w:sz w:val="28"/>
          <w:szCs w:val="28"/>
        </w:rPr>
        <w:t>%</w:t>
      </w:r>
      <w:r w:rsidRPr="00EC20F8">
        <w:rPr>
          <w:rFonts w:ascii="Times New Roman" w:hAnsi="Times New Roman" w:cs="Times New Roman"/>
          <w:sz w:val="28"/>
          <w:szCs w:val="28"/>
        </w:rPr>
        <w:t xml:space="preserve"> (в 2012 году – 60,0 </w:t>
      </w:r>
      <w:r w:rsidR="00960E11" w:rsidRPr="00EC20F8">
        <w:rPr>
          <w:rFonts w:ascii="Times New Roman" w:hAnsi="Times New Roman" w:cs="Times New Roman"/>
          <w:sz w:val="28"/>
          <w:szCs w:val="28"/>
        </w:rPr>
        <w:t>%</w:t>
      </w:r>
      <w:r w:rsidRPr="00EC20F8">
        <w:rPr>
          <w:rFonts w:ascii="Times New Roman" w:hAnsi="Times New Roman" w:cs="Times New Roman"/>
          <w:sz w:val="28"/>
          <w:szCs w:val="28"/>
        </w:rPr>
        <w:t>);</w:t>
      </w:r>
    </w:p>
    <w:p w:rsidR="004871C3" w:rsidRPr="00EC20F8" w:rsidRDefault="00CE7F59" w:rsidP="004871C3">
      <w:pPr>
        <w:pStyle w:val="a3"/>
        <w:numPr>
          <w:ilvl w:val="0"/>
          <w:numId w:val="10"/>
        </w:numPr>
        <w:shd w:val="clear" w:color="auto" w:fill="FFFFFF"/>
        <w:spacing w:line="240" w:lineRule="auto"/>
        <w:ind w:left="0" w:firstLine="709"/>
        <w:jc w:val="both"/>
        <w:rPr>
          <w:rFonts w:ascii="Times New Roman" w:hAnsi="Times New Roman" w:cs="Times New Roman"/>
          <w:sz w:val="28"/>
          <w:szCs w:val="28"/>
        </w:rPr>
      </w:pPr>
      <w:r w:rsidRPr="00EC20F8">
        <w:rPr>
          <w:rFonts w:ascii="Times New Roman" w:hAnsi="Times New Roman" w:cs="Times New Roman"/>
          <w:sz w:val="28"/>
          <w:szCs w:val="28"/>
        </w:rPr>
        <w:t>земельный налог -</w:t>
      </w:r>
      <w:r w:rsidR="004871C3" w:rsidRPr="00EC20F8">
        <w:rPr>
          <w:rFonts w:ascii="Times New Roman" w:hAnsi="Times New Roman" w:cs="Times New Roman"/>
          <w:sz w:val="28"/>
          <w:szCs w:val="28"/>
        </w:rPr>
        <w:t xml:space="preserve"> в 1,3 раза. Значительный рост дохода от уплаты земельного налога связан с увеличением налоговой базы (постановка в течение 2013 года на налоговый учет новых объектов налогообложения);</w:t>
      </w:r>
    </w:p>
    <w:p w:rsidR="004871C3" w:rsidRPr="00EC20F8" w:rsidRDefault="004871C3" w:rsidP="004871C3">
      <w:pPr>
        <w:pStyle w:val="a3"/>
        <w:numPr>
          <w:ilvl w:val="0"/>
          <w:numId w:val="10"/>
        </w:numPr>
        <w:shd w:val="clear" w:color="auto" w:fill="FFFFFF"/>
        <w:spacing w:line="240" w:lineRule="auto"/>
        <w:ind w:left="0" w:firstLine="709"/>
        <w:jc w:val="both"/>
        <w:rPr>
          <w:rFonts w:ascii="Times New Roman" w:hAnsi="Times New Roman" w:cs="Times New Roman"/>
          <w:sz w:val="28"/>
          <w:szCs w:val="28"/>
        </w:rPr>
      </w:pPr>
      <w:r w:rsidRPr="00EC20F8">
        <w:rPr>
          <w:rFonts w:ascii="Times New Roman" w:hAnsi="Times New Roman" w:cs="Times New Roman"/>
          <w:spacing w:val="16"/>
          <w:sz w:val="28"/>
          <w:szCs w:val="28"/>
        </w:rPr>
        <w:t>налог на доходы физических лиц</w:t>
      </w:r>
      <w:r w:rsidRPr="00EC20F8">
        <w:rPr>
          <w:rFonts w:ascii="Times New Roman" w:hAnsi="Times New Roman" w:cs="Times New Roman"/>
          <w:sz w:val="28"/>
          <w:szCs w:val="28"/>
        </w:rPr>
        <w:t xml:space="preserve"> – в 1,2 раза. Р</w:t>
      </w:r>
      <w:r w:rsidRPr="00EC20F8">
        <w:rPr>
          <w:rFonts w:ascii="Times New Roman" w:hAnsi="Times New Roman" w:cs="Times New Roman"/>
          <w:spacing w:val="10"/>
          <w:sz w:val="28"/>
          <w:szCs w:val="28"/>
        </w:rPr>
        <w:t xml:space="preserve">ост поступлений обеспечен </w:t>
      </w:r>
      <w:r w:rsidRPr="00EC20F8">
        <w:rPr>
          <w:rFonts w:ascii="Times New Roman" w:hAnsi="Times New Roman" w:cs="Times New Roman"/>
          <w:bCs/>
          <w:spacing w:val="3"/>
          <w:sz w:val="28"/>
          <w:szCs w:val="28"/>
        </w:rPr>
        <w:t xml:space="preserve">увеличением поступлений по контрольной работе инспекции ФНС по </w:t>
      </w:r>
      <w:proofErr w:type="gramStart"/>
      <w:r w:rsidRPr="00EC20F8">
        <w:rPr>
          <w:rFonts w:ascii="Times New Roman" w:hAnsi="Times New Roman" w:cs="Times New Roman"/>
          <w:bCs/>
          <w:spacing w:val="3"/>
          <w:sz w:val="28"/>
          <w:szCs w:val="28"/>
        </w:rPr>
        <w:t>г</w:t>
      </w:r>
      <w:proofErr w:type="gramEnd"/>
      <w:r w:rsidRPr="00EC20F8">
        <w:rPr>
          <w:rFonts w:ascii="Times New Roman" w:hAnsi="Times New Roman" w:cs="Times New Roman"/>
          <w:bCs/>
          <w:spacing w:val="3"/>
          <w:sz w:val="28"/>
          <w:szCs w:val="28"/>
        </w:rPr>
        <w:t>.</w:t>
      </w:r>
      <w:r w:rsidR="001B413D" w:rsidRPr="00EC20F8">
        <w:rPr>
          <w:rFonts w:ascii="Times New Roman" w:hAnsi="Times New Roman" w:cs="Times New Roman"/>
          <w:bCs/>
          <w:spacing w:val="3"/>
          <w:sz w:val="28"/>
          <w:szCs w:val="28"/>
        </w:rPr>
        <w:t xml:space="preserve"> </w:t>
      </w:r>
      <w:r w:rsidRPr="00EC20F8">
        <w:rPr>
          <w:rFonts w:ascii="Times New Roman" w:hAnsi="Times New Roman" w:cs="Times New Roman"/>
          <w:bCs/>
          <w:spacing w:val="3"/>
          <w:sz w:val="28"/>
          <w:szCs w:val="28"/>
        </w:rPr>
        <w:t>Петропавловску-Камчатскому.</w:t>
      </w:r>
      <w:r w:rsidRPr="00EC20F8">
        <w:rPr>
          <w:rFonts w:ascii="Times New Roman" w:hAnsi="Times New Roman" w:cs="Times New Roman"/>
          <w:b/>
          <w:bCs/>
          <w:spacing w:val="3"/>
          <w:sz w:val="28"/>
          <w:szCs w:val="28"/>
        </w:rPr>
        <w:t xml:space="preserve"> </w:t>
      </w:r>
      <w:r w:rsidRPr="00EC20F8">
        <w:rPr>
          <w:rFonts w:ascii="Times New Roman" w:hAnsi="Times New Roman" w:cs="Times New Roman"/>
          <w:spacing w:val="4"/>
          <w:sz w:val="28"/>
          <w:szCs w:val="28"/>
        </w:rPr>
        <w:t xml:space="preserve">Основные суммы поступили </w:t>
      </w:r>
      <w:r w:rsidRPr="00EC20F8">
        <w:rPr>
          <w:rFonts w:ascii="Times New Roman" w:hAnsi="Times New Roman" w:cs="Times New Roman"/>
          <w:sz w:val="28"/>
          <w:szCs w:val="28"/>
        </w:rPr>
        <w:t>от ОАО «</w:t>
      </w:r>
      <w:proofErr w:type="spellStart"/>
      <w:r w:rsidRPr="00EC20F8">
        <w:rPr>
          <w:rFonts w:ascii="Times New Roman" w:hAnsi="Times New Roman" w:cs="Times New Roman"/>
          <w:sz w:val="28"/>
          <w:szCs w:val="28"/>
        </w:rPr>
        <w:t>Камчатскэнерго</w:t>
      </w:r>
      <w:proofErr w:type="spellEnd"/>
      <w:r w:rsidRPr="00EC20F8">
        <w:rPr>
          <w:rFonts w:ascii="Times New Roman" w:hAnsi="Times New Roman" w:cs="Times New Roman"/>
          <w:sz w:val="28"/>
          <w:szCs w:val="28"/>
        </w:rPr>
        <w:t xml:space="preserve">» в погашение задолженности прошлых лет. Кроме того, проведя анализ поступлений по основным отраслям экономики, </w:t>
      </w:r>
      <w:r w:rsidRPr="00EC20F8">
        <w:rPr>
          <w:rFonts w:ascii="Times New Roman" w:hAnsi="Times New Roman" w:cs="Times New Roman"/>
          <w:spacing w:val="3"/>
          <w:sz w:val="28"/>
          <w:szCs w:val="28"/>
        </w:rPr>
        <w:t xml:space="preserve">выявлено, что основной рост поступлений по сравнению с 2012 годом обеспечен </w:t>
      </w:r>
      <w:r w:rsidRPr="00EC20F8">
        <w:rPr>
          <w:rFonts w:ascii="Times New Roman" w:hAnsi="Times New Roman" w:cs="Times New Roman"/>
          <w:spacing w:val="5"/>
          <w:sz w:val="28"/>
          <w:szCs w:val="28"/>
        </w:rPr>
        <w:t xml:space="preserve">таким видом деятельности как </w:t>
      </w:r>
      <w:r w:rsidRPr="00EC20F8">
        <w:rPr>
          <w:rFonts w:ascii="Times New Roman" w:hAnsi="Times New Roman" w:cs="Times New Roman"/>
          <w:b/>
          <w:bCs/>
          <w:spacing w:val="5"/>
          <w:sz w:val="28"/>
          <w:szCs w:val="28"/>
        </w:rPr>
        <w:t>«</w:t>
      </w:r>
      <w:r w:rsidRPr="00EC20F8">
        <w:rPr>
          <w:rFonts w:ascii="Times New Roman" w:hAnsi="Times New Roman" w:cs="Times New Roman"/>
          <w:bCs/>
          <w:spacing w:val="5"/>
          <w:sz w:val="28"/>
          <w:szCs w:val="28"/>
        </w:rPr>
        <w:t xml:space="preserve">Государственное управление и обеспечение </w:t>
      </w:r>
      <w:r w:rsidRPr="00EC20F8">
        <w:rPr>
          <w:rFonts w:ascii="Times New Roman" w:hAnsi="Times New Roman" w:cs="Times New Roman"/>
          <w:bCs/>
          <w:spacing w:val="21"/>
          <w:sz w:val="28"/>
          <w:szCs w:val="28"/>
        </w:rPr>
        <w:t>военной безопасности».</w:t>
      </w:r>
      <w:r w:rsidRPr="00EC20F8">
        <w:rPr>
          <w:rFonts w:ascii="Times New Roman" w:hAnsi="Times New Roman" w:cs="Times New Roman"/>
          <w:sz w:val="28"/>
          <w:szCs w:val="28"/>
        </w:rPr>
        <w:t xml:space="preserve"> </w:t>
      </w:r>
      <w:proofErr w:type="gramStart"/>
      <w:r w:rsidRPr="00EC20F8">
        <w:rPr>
          <w:rFonts w:ascii="Times New Roman" w:hAnsi="Times New Roman" w:cs="Times New Roman"/>
          <w:sz w:val="28"/>
          <w:szCs w:val="28"/>
        </w:rPr>
        <w:t xml:space="preserve">Рост поступлений </w:t>
      </w:r>
      <w:r w:rsidRPr="00EC20F8">
        <w:rPr>
          <w:rFonts w:ascii="Times New Roman" w:hAnsi="Times New Roman" w:cs="Times New Roman"/>
          <w:spacing w:val="3"/>
          <w:sz w:val="28"/>
          <w:szCs w:val="28"/>
        </w:rPr>
        <w:t xml:space="preserve">по сравнению с 2012 годом обеспечен </w:t>
      </w:r>
      <w:r w:rsidRPr="00EC20F8">
        <w:rPr>
          <w:rFonts w:ascii="Times New Roman" w:hAnsi="Times New Roman" w:cs="Times New Roman"/>
          <w:spacing w:val="5"/>
          <w:sz w:val="28"/>
          <w:szCs w:val="28"/>
        </w:rPr>
        <w:t xml:space="preserve">предприятиями Министерства обороны Российской Федерации в связи с повышением в 2013 </w:t>
      </w:r>
      <w:r w:rsidRPr="00EC20F8">
        <w:rPr>
          <w:rFonts w:ascii="Times New Roman" w:hAnsi="Times New Roman" w:cs="Times New Roman"/>
          <w:sz w:val="28"/>
          <w:szCs w:val="28"/>
        </w:rPr>
        <w:t>году оплаты труда военнослужащим.</w:t>
      </w:r>
      <w:proofErr w:type="gramEnd"/>
      <w:r w:rsidRPr="00EC20F8">
        <w:rPr>
          <w:rFonts w:ascii="Times New Roman" w:hAnsi="Times New Roman" w:cs="Times New Roman"/>
          <w:sz w:val="28"/>
          <w:szCs w:val="28"/>
        </w:rPr>
        <w:t xml:space="preserve"> (Указ Президента РФ от 07.05.12 № 604 «О дальнейшем совершенствовании военной службы в Российской Федерации»);</w:t>
      </w:r>
    </w:p>
    <w:p w:rsidR="004871C3" w:rsidRPr="00EC20F8" w:rsidRDefault="004871C3" w:rsidP="004871C3">
      <w:pPr>
        <w:pStyle w:val="a3"/>
        <w:numPr>
          <w:ilvl w:val="0"/>
          <w:numId w:val="10"/>
        </w:numPr>
        <w:shd w:val="clear" w:color="auto" w:fill="FFFFFF"/>
        <w:spacing w:line="240" w:lineRule="auto"/>
        <w:ind w:left="0" w:firstLine="709"/>
        <w:jc w:val="both"/>
        <w:rPr>
          <w:rFonts w:ascii="Times New Roman" w:hAnsi="Times New Roman" w:cs="Times New Roman"/>
          <w:sz w:val="28"/>
          <w:szCs w:val="28"/>
        </w:rPr>
      </w:pPr>
      <w:r w:rsidRPr="00EC20F8">
        <w:rPr>
          <w:rFonts w:ascii="Times New Roman" w:hAnsi="Times New Roman" w:cs="Times New Roman"/>
          <w:sz w:val="28"/>
          <w:szCs w:val="28"/>
        </w:rPr>
        <w:t>е</w:t>
      </w:r>
      <w:r w:rsidRPr="00EC20F8">
        <w:rPr>
          <w:rFonts w:ascii="Times New Roman" w:hAnsi="Times New Roman" w:cs="Times New Roman"/>
          <w:bCs/>
          <w:spacing w:val="8"/>
          <w:sz w:val="28"/>
          <w:szCs w:val="28"/>
        </w:rPr>
        <w:t xml:space="preserve">диный налог, </w:t>
      </w:r>
      <w:r w:rsidRPr="00EC20F8">
        <w:rPr>
          <w:rFonts w:ascii="Times New Roman" w:hAnsi="Times New Roman" w:cs="Times New Roman"/>
          <w:spacing w:val="8"/>
          <w:sz w:val="28"/>
          <w:szCs w:val="28"/>
        </w:rPr>
        <w:t>взимаемый в связи с применением упрощенной системы</w:t>
      </w:r>
      <w:r w:rsidRPr="00EC20F8">
        <w:rPr>
          <w:rFonts w:ascii="Times New Roman" w:hAnsi="Times New Roman" w:cs="Times New Roman"/>
          <w:spacing w:val="7"/>
          <w:sz w:val="28"/>
          <w:szCs w:val="28"/>
        </w:rPr>
        <w:t xml:space="preserve"> налогообложения и </w:t>
      </w:r>
      <w:r w:rsidRPr="00EC20F8">
        <w:rPr>
          <w:rFonts w:ascii="Times New Roman" w:hAnsi="Times New Roman" w:cs="Times New Roman"/>
          <w:sz w:val="28"/>
          <w:szCs w:val="28"/>
        </w:rPr>
        <w:t>налог на имущество физических лиц –</w:t>
      </w:r>
      <w:r w:rsidRPr="00EC20F8">
        <w:rPr>
          <w:rFonts w:ascii="Times New Roman" w:hAnsi="Times New Roman" w:cs="Times New Roman"/>
          <w:spacing w:val="7"/>
          <w:sz w:val="28"/>
          <w:szCs w:val="28"/>
        </w:rPr>
        <w:t xml:space="preserve">                            111 </w:t>
      </w:r>
      <w:r w:rsidR="00960E11" w:rsidRPr="00EC20F8">
        <w:rPr>
          <w:rFonts w:ascii="Times New Roman" w:hAnsi="Times New Roman" w:cs="Times New Roman"/>
          <w:spacing w:val="7"/>
          <w:sz w:val="28"/>
          <w:szCs w:val="28"/>
        </w:rPr>
        <w:t>%</w:t>
      </w:r>
      <w:r w:rsidRPr="00EC20F8">
        <w:rPr>
          <w:rFonts w:ascii="Times New Roman" w:hAnsi="Times New Roman" w:cs="Times New Roman"/>
          <w:spacing w:val="7"/>
          <w:sz w:val="28"/>
          <w:szCs w:val="28"/>
        </w:rPr>
        <w:t xml:space="preserve">. </w:t>
      </w:r>
      <w:r w:rsidRPr="00EC20F8">
        <w:rPr>
          <w:rFonts w:ascii="Times New Roman" w:hAnsi="Times New Roman" w:cs="Times New Roman"/>
          <w:sz w:val="28"/>
          <w:szCs w:val="28"/>
        </w:rPr>
        <w:t xml:space="preserve">Увеличение дохода по налогу, взимаемому в связи с применением упрощенной системы налогообложения, зависит от ежегодного увеличения количественного состава плательщиков данного налога; </w:t>
      </w:r>
    </w:p>
    <w:p w:rsidR="004871C3" w:rsidRPr="00EC20F8" w:rsidRDefault="004871C3" w:rsidP="004871C3">
      <w:pPr>
        <w:numPr>
          <w:ilvl w:val="0"/>
          <w:numId w:val="10"/>
        </w:numPr>
        <w:shd w:val="clear" w:color="auto" w:fill="FFFFFF"/>
        <w:spacing w:line="240" w:lineRule="auto"/>
        <w:ind w:left="0" w:firstLine="709"/>
        <w:jc w:val="both"/>
        <w:rPr>
          <w:rFonts w:ascii="Times New Roman" w:hAnsi="Times New Roman" w:cs="Times New Roman"/>
          <w:spacing w:val="11"/>
          <w:sz w:val="28"/>
          <w:szCs w:val="28"/>
        </w:rPr>
      </w:pPr>
      <w:r w:rsidRPr="00EC20F8">
        <w:rPr>
          <w:rFonts w:ascii="Times New Roman" w:hAnsi="Times New Roman" w:cs="Times New Roman"/>
          <w:spacing w:val="5"/>
          <w:sz w:val="28"/>
          <w:szCs w:val="28"/>
        </w:rPr>
        <w:t xml:space="preserve">единый налог на вменённый доход- 100 </w:t>
      </w:r>
      <w:r w:rsidR="00960E11" w:rsidRPr="00EC20F8">
        <w:rPr>
          <w:rFonts w:ascii="Times New Roman" w:hAnsi="Times New Roman" w:cs="Times New Roman"/>
          <w:spacing w:val="5"/>
          <w:sz w:val="28"/>
          <w:szCs w:val="28"/>
        </w:rPr>
        <w:t>%</w:t>
      </w:r>
      <w:r w:rsidRPr="00EC20F8">
        <w:rPr>
          <w:rFonts w:ascii="Times New Roman" w:hAnsi="Times New Roman" w:cs="Times New Roman"/>
          <w:spacing w:val="5"/>
          <w:sz w:val="28"/>
          <w:szCs w:val="28"/>
        </w:rPr>
        <w:t xml:space="preserve">. </w:t>
      </w:r>
    </w:p>
    <w:p w:rsidR="004871C3" w:rsidRPr="00EC20F8" w:rsidRDefault="004871C3" w:rsidP="004871C3">
      <w:pPr>
        <w:shd w:val="clear" w:color="auto" w:fill="FFFFFF"/>
        <w:ind w:firstLine="709"/>
        <w:jc w:val="both"/>
        <w:rPr>
          <w:rFonts w:ascii="Times New Roman" w:hAnsi="Times New Roman" w:cs="Times New Roman"/>
          <w:sz w:val="28"/>
          <w:szCs w:val="28"/>
        </w:rPr>
      </w:pPr>
      <w:r w:rsidRPr="00EC20F8">
        <w:rPr>
          <w:rFonts w:ascii="Times New Roman" w:hAnsi="Times New Roman" w:cs="Times New Roman"/>
          <w:spacing w:val="5"/>
          <w:sz w:val="28"/>
          <w:szCs w:val="28"/>
        </w:rPr>
        <w:t xml:space="preserve">Налог на прибыль </w:t>
      </w:r>
      <w:r w:rsidRPr="00EC20F8">
        <w:rPr>
          <w:rFonts w:ascii="Times New Roman" w:hAnsi="Times New Roman" w:cs="Times New Roman"/>
          <w:sz w:val="28"/>
          <w:szCs w:val="28"/>
        </w:rPr>
        <w:t xml:space="preserve">организаций исполнен в сравнении с 2012 года на 59 </w:t>
      </w:r>
      <w:r w:rsidR="00960E11" w:rsidRPr="00EC20F8">
        <w:rPr>
          <w:rFonts w:ascii="Times New Roman" w:hAnsi="Times New Roman" w:cs="Times New Roman"/>
          <w:sz w:val="28"/>
          <w:szCs w:val="28"/>
        </w:rPr>
        <w:t>%</w:t>
      </w:r>
      <w:r w:rsidRPr="00EC20F8">
        <w:rPr>
          <w:rFonts w:ascii="Times New Roman" w:hAnsi="Times New Roman" w:cs="Times New Roman"/>
          <w:sz w:val="28"/>
          <w:szCs w:val="28"/>
        </w:rPr>
        <w:t>. Причины снижения темпа роста в 2013 году:</w:t>
      </w:r>
    </w:p>
    <w:p w:rsidR="004871C3" w:rsidRPr="00EC20F8" w:rsidRDefault="004871C3" w:rsidP="004871C3">
      <w:pPr>
        <w:shd w:val="clear" w:color="auto" w:fill="FFFFFF"/>
        <w:tabs>
          <w:tab w:val="left" w:pos="6840"/>
        </w:tabs>
        <w:ind w:firstLine="709"/>
        <w:jc w:val="both"/>
        <w:rPr>
          <w:rFonts w:ascii="Times New Roman" w:hAnsi="Times New Roman" w:cs="Times New Roman"/>
          <w:sz w:val="28"/>
          <w:szCs w:val="28"/>
        </w:rPr>
      </w:pPr>
      <w:r w:rsidRPr="00EC20F8">
        <w:rPr>
          <w:rFonts w:ascii="Times New Roman" w:hAnsi="Times New Roman" w:cs="Times New Roman"/>
          <w:sz w:val="28"/>
          <w:szCs w:val="28"/>
        </w:rPr>
        <w:t>– в увеличении расходов, уменьшающих налоговую базу, в особенности администрирования данного налога налогоплательщиками участниками Консолидированной группы (Федеральный закон от 16.11.2011 № 321-ФЗ). Объединение налоговой базы по налогу на прибыль создаёт для организаций - участников групп налоговую преференцию, которая выражается в возможности суммировать прибыли и убытки различных участников этой группы, что соответственно ведёт к уменьшению размера исчисленного налога по группе;</w:t>
      </w:r>
    </w:p>
    <w:p w:rsidR="004871C3" w:rsidRPr="00EC20F8" w:rsidRDefault="004871C3" w:rsidP="004871C3">
      <w:pPr>
        <w:shd w:val="clear" w:color="auto" w:fill="FFFFFF"/>
        <w:ind w:firstLine="709"/>
        <w:jc w:val="both"/>
        <w:rPr>
          <w:rFonts w:ascii="Times New Roman" w:hAnsi="Times New Roman" w:cs="Times New Roman"/>
          <w:sz w:val="28"/>
          <w:szCs w:val="28"/>
        </w:rPr>
      </w:pPr>
      <w:r w:rsidRPr="00EC20F8">
        <w:rPr>
          <w:rFonts w:ascii="Times New Roman" w:hAnsi="Times New Roman" w:cs="Times New Roman"/>
          <w:sz w:val="28"/>
          <w:szCs w:val="28"/>
        </w:rPr>
        <w:t>– в снижении поступлений от крупнейшего плательщика данного налога ОАО «</w:t>
      </w:r>
      <w:proofErr w:type="spellStart"/>
      <w:r w:rsidRPr="00EC20F8">
        <w:rPr>
          <w:rFonts w:ascii="Times New Roman" w:hAnsi="Times New Roman" w:cs="Times New Roman"/>
          <w:sz w:val="28"/>
          <w:szCs w:val="28"/>
        </w:rPr>
        <w:t>Океанрыбфлот</w:t>
      </w:r>
      <w:proofErr w:type="spellEnd"/>
      <w:r w:rsidRPr="00EC20F8">
        <w:rPr>
          <w:rFonts w:ascii="Times New Roman" w:hAnsi="Times New Roman" w:cs="Times New Roman"/>
          <w:sz w:val="28"/>
          <w:szCs w:val="28"/>
        </w:rPr>
        <w:t>». По сравнению с прошлым</w:t>
      </w:r>
      <w:r w:rsidRPr="00EC20F8">
        <w:rPr>
          <w:rFonts w:ascii="Times New Roman" w:hAnsi="Times New Roman" w:cs="Times New Roman"/>
          <w:spacing w:val="11"/>
          <w:sz w:val="28"/>
          <w:szCs w:val="28"/>
        </w:rPr>
        <w:t xml:space="preserve"> годом у данного </w:t>
      </w:r>
      <w:r w:rsidRPr="00EC20F8">
        <w:rPr>
          <w:rFonts w:ascii="Times New Roman" w:hAnsi="Times New Roman" w:cs="Times New Roman"/>
          <w:sz w:val="28"/>
          <w:szCs w:val="28"/>
        </w:rPr>
        <w:t>налогоплательщика, выявлено значительное снижение выручки от реализации товаров (работ, услуг) как собственного производства, так и покупных.</w:t>
      </w:r>
    </w:p>
    <w:p w:rsidR="004871C3" w:rsidRPr="00EC20F8" w:rsidRDefault="004871C3" w:rsidP="004871C3">
      <w:pPr>
        <w:shd w:val="clear" w:color="auto" w:fill="FFFFFF"/>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Прочие налоговые доходы – исполнены на 100,6 </w:t>
      </w:r>
      <w:r w:rsidR="00960E11" w:rsidRPr="00EC20F8">
        <w:rPr>
          <w:rFonts w:ascii="Times New Roman" w:hAnsi="Times New Roman" w:cs="Times New Roman"/>
          <w:sz w:val="28"/>
          <w:szCs w:val="28"/>
        </w:rPr>
        <w:t>%</w:t>
      </w:r>
      <w:r w:rsidRPr="00EC20F8">
        <w:rPr>
          <w:rFonts w:ascii="Times New Roman" w:hAnsi="Times New Roman" w:cs="Times New Roman"/>
          <w:sz w:val="28"/>
          <w:szCs w:val="28"/>
        </w:rPr>
        <w:t>.</w:t>
      </w:r>
    </w:p>
    <w:p w:rsidR="004871C3" w:rsidRPr="00EC20F8" w:rsidRDefault="004871C3" w:rsidP="004871C3">
      <w:pPr>
        <w:shd w:val="clear" w:color="auto" w:fill="FFFFFF"/>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Государственная пошлина – исполнена на 100,5 </w:t>
      </w:r>
      <w:r w:rsidR="00960E11" w:rsidRPr="00EC20F8">
        <w:rPr>
          <w:rFonts w:ascii="Times New Roman" w:hAnsi="Times New Roman" w:cs="Times New Roman"/>
          <w:sz w:val="28"/>
          <w:szCs w:val="28"/>
        </w:rPr>
        <w:t>%</w:t>
      </w:r>
      <w:r w:rsidRPr="00EC20F8">
        <w:rPr>
          <w:rFonts w:ascii="Times New Roman" w:hAnsi="Times New Roman" w:cs="Times New Roman"/>
          <w:sz w:val="28"/>
          <w:szCs w:val="28"/>
        </w:rPr>
        <w:t>. Сумма поступлений за 2013 год увеличилась на 9,1</w:t>
      </w:r>
      <w:r w:rsidR="00960E11" w:rsidRPr="00EC20F8">
        <w:rPr>
          <w:rFonts w:ascii="Times New Roman" w:hAnsi="Times New Roman" w:cs="Times New Roman"/>
          <w:sz w:val="28"/>
          <w:szCs w:val="28"/>
        </w:rPr>
        <w:t xml:space="preserve"> </w:t>
      </w:r>
      <w:proofErr w:type="spellStart"/>
      <w:proofErr w:type="gramStart"/>
      <w:r w:rsidR="00153BA5" w:rsidRPr="00EC20F8">
        <w:rPr>
          <w:rFonts w:ascii="Times New Roman" w:hAnsi="Times New Roman" w:cs="Times New Roman"/>
          <w:sz w:val="28"/>
          <w:szCs w:val="28"/>
        </w:rPr>
        <w:t>млн</w:t>
      </w:r>
      <w:proofErr w:type="spellEnd"/>
      <w:proofErr w:type="gramEnd"/>
      <w:r w:rsidR="00153BA5" w:rsidRPr="00EC20F8">
        <w:rPr>
          <w:rFonts w:ascii="Times New Roman" w:hAnsi="Times New Roman" w:cs="Times New Roman"/>
          <w:sz w:val="28"/>
          <w:szCs w:val="28"/>
        </w:rPr>
        <w:t xml:space="preserve"> рублей</w:t>
      </w:r>
      <w:r w:rsidRPr="00EC20F8">
        <w:rPr>
          <w:rFonts w:ascii="Times New Roman" w:hAnsi="Times New Roman" w:cs="Times New Roman"/>
          <w:sz w:val="28"/>
          <w:szCs w:val="28"/>
        </w:rPr>
        <w:t xml:space="preserve"> по сравнению с 2012 годом. Увеличение дохода от уплаты государственной пошлины связано с увеличением количества дел, рассматриваемых в судах общей юрисдикции, мировыми судьями. </w:t>
      </w:r>
    </w:p>
    <w:p w:rsidR="004871C3" w:rsidRPr="00EC20F8" w:rsidRDefault="004871C3" w:rsidP="004871C3">
      <w:pPr>
        <w:shd w:val="clear" w:color="auto" w:fill="FFFFFF"/>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Удельный вес поступления налогов в бюджет городского округа в 2013 году по видам доходов в разрезе отраслей экономики: </w:t>
      </w:r>
    </w:p>
    <w:p w:rsidR="004871C3" w:rsidRPr="00EC20F8" w:rsidRDefault="004871C3" w:rsidP="004871C3">
      <w:pPr>
        <w:shd w:val="clear" w:color="auto" w:fill="FFFFFF"/>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по единому налогу на вмененный доход - «Оптовая и розничная торговля, ремонт автотранспортных средств, мотоциклов, бытовых изделий и предметов личного пользования» - 62,5 </w:t>
      </w:r>
      <w:r w:rsidR="00960E11" w:rsidRPr="00EC20F8">
        <w:rPr>
          <w:rFonts w:ascii="Times New Roman" w:hAnsi="Times New Roman" w:cs="Times New Roman"/>
          <w:sz w:val="28"/>
          <w:szCs w:val="28"/>
        </w:rPr>
        <w:t>%</w:t>
      </w:r>
      <w:r w:rsidRPr="00EC20F8">
        <w:rPr>
          <w:rFonts w:ascii="Times New Roman" w:hAnsi="Times New Roman" w:cs="Times New Roman"/>
          <w:sz w:val="28"/>
          <w:szCs w:val="28"/>
        </w:rPr>
        <w:t>;</w:t>
      </w:r>
    </w:p>
    <w:p w:rsidR="004871C3" w:rsidRPr="00EC20F8" w:rsidRDefault="004871C3" w:rsidP="004871C3">
      <w:pPr>
        <w:shd w:val="clear" w:color="auto" w:fill="FFFFFF"/>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по налогу на имущество физических лиц - физические лица, не относящиеся к индивидуальным предпринимателям – 57,4 </w:t>
      </w:r>
      <w:r w:rsidR="00960E11" w:rsidRPr="00EC20F8">
        <w:rPr>
          <w:rFonts w:ascii="Times New Roman" w:hAnsi="Times New Roman" w:cs="Times New Roman"/>
          <w:sz w:val="28"/>
          <w:szCs w:val="28"/>
        </w:rPr>
        <w:t>%</w:t>
      </w:r>
      <w:r w:rsidRPr="00EC20F8">
        <w:rPr>
          <w:rFonts w:ascii="Times New Roman" w:hAnsi="Times New Roman" w:cs="Times New Roman"/>
          <w:sz w:val="28"/>
          <w:szCs w:val="28"/>
        </w:rPr>
        <w:t>;</w:t>
      </w:r>
    </w:p>
    <w:p w:rsidR="004871C3" w:rsidRPr="00EC20F8" w:rsidRDefault="004871C3" w:rsidP="004871C3">
      <w:pPr>
        <w:shd w:val="clear" w:color="auto" w:fill="FFFFFF"/>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по налогу на прибыль организаций - «Рыболовство, рыбоводство» -                 20,7 </w:t>
      </w:r>
      <w:r w:rsidR="00960E11" w:rsidRPr="00EC20F8">
        <w:rPr>
          <w:rFonts w:ascii="Times New Roman" w:hAnsi="Times New Roman" w:cs="Times New Roman"/>
          <w:sz w:val="28"/>
          <w:szCs w:val="28"/>
        </w:rPr>
        <w:t>%</w:t>
      </w:r>
      <w:r w:rsidRPr="00EC20F8">
        <w:rPr>
          <w:rFonts w:ascii="Times New Roman" w:hAnsi="Times New Roman" w:cs="Times New Roman"/>
          <w:sz w:val="28"/>
          <w:szCs w:val="28"/>
        </w:rPr>
        <w:t xml:space="preserve">; «Добыча полезных ископаемых» - 20 </w:t>
      </w:r>
      <w:r w:rsidR="00960E11" w:rsidRPr="00EC20F8">
        <w:rPr>
          <w:rFonts w:ascii="Times New Roman" w:hAnsi="Times New Roman" w:cs="Times New Roman"/>
          <w:sz w:val="28"/>
          <w:szCs w:val="28"/>
        </w:rPr>
        <w:t>%</w:t>
      </w:r>
      <w:r w:rsidRPr="00EC20F8">
        <w:rPr>
          <w:rFonts w:ascii="Times New Roman" w:hAnsi="Times New Roman" w:cs="Times New Roman"/>
          <w:sz w:val="28"/>
          <w:szCs w:val="28"/>
        </w:rPr>
        <w:t xml:space="preserve"> и «Оптовая и розничная торговля, ремонт автотранспортных средств, мотоциклов, бытовых изделий и предметов личного пользования» - 16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w:t>
      </w:r>
    </w:p>
    <w:p w:rsidR="004871C3" w:rsidRPr="00EC20F8" w:rsidRDefault="004871C3" w:rsidP="004871C3">
      <w:pPr>
        <w:shd w:val="clear" w:color="auto" w:fill="FFFFFF"/>
        <w:ind w:firstLine="709"/>
        <w:jc w:val="both"/>
        <w:rPr>
          <w:rFonts w:ascii="Times New Roman" w:hAnsi="Times New Roman" w:cs="Times New Roman"/>
          <w:sz w:val="28"/>
          <w:szCs w:val="28"/>
        </w:rPr>
      </w:pPr>
      <w:r w:rsidRPr="00EC20F8">
        <w:rPr>
          <w:rFonts w:ascii="Times New Roman" w:hAnsi="Times New Roman" w:cs="Times New Roman"/>
          <w:sz w:val="28"/>
          <w:szCs w:val="28"/>
        </w:rPr>
        <w:t>по налогу на доходы физических лиц - в секторе «Государственное управление и обеспечение военной безопасности»</w:t>
      </w:r>
      <w:r w:rsidR="00CE391C" w:rsidRPr="00EC20F8">
        <w:rPr>
          <w:rFonts w:ascii="Times New Roman" w:hAnsi="Times New Roman" w:cs="Times New Roman"/>
          <w:sz w:val="28"/>
          <w:szCs w:val="28"/>
        </w:rPr>
        <w:t xml:space="preserve"> - </w:t>
      </w:r>
      <w:r w:rsidRPr="00EC20F8">
        <w:rPr>
          <w:rFonts w:ascii="Times New Roman" w:hAnsi="Times New Roman" w:cs="Times New Roman"/>
          <w:sz w:val="28"/>
          <w:szCs w:val="28"/>
        </w:rPr>
        <w:t xml:space="preserve"> 26,6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xml:space="preserve">; «Производство и распределение электроэнергии и газа» - 14,1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xml:space="preserve">; «Рыболовство, рыбоводство» - 12,7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w:t>
      </w:r>
    </w:p>
    <w:p w:rsidR="004871C3" w:rsidRPr="00EC20F8" w:rsidRDefault="004871C3" w:rsidP="004871C3">
      <w:pPr>
        <w:shd w:val="clear" w:color="auto" w:fill="FFFFFF"/>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по налогу, взимаемому в связи с применением упрощенной системы налогообложения – «Операции с недвижимым имуществом, аренда и предоставление услуг» - 24,5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xml:space="preserve"> и «Оптовая и розничная торговля, ремонт автотранспортных средств, мотоциклов, бытовых изделий и предметов личного пользования» - 23,3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w:t>
      </w:r>
    </w:p>
    <w:p w:rsidR="004871C3" w:rsidRPr="00EC20F8" w:rsidRDefault="004871C3" w:rsidP="004871C3">
      <w:pPr>
        <w:shd w:val="clear" w:color="auto" w:fill="FFFFFF"/>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по земельному налогу - «Образование» - 23,3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xml:space="preserve"> и «Операции с недвижимым имуществом, аренда и предоставление услуг» - 20,8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w:t>
      </w:r>
    </w:p>
    <w:p w:rsidR="004871C3" w:rsidRPr="00EC20F8" w:rsidRDefault="004871C3" w:rsidP="004871C3">
      <w:pPr>
        <w:shd w:val="clear" w:color="auto" w:fill="FFFFFF"/>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по единому сельскохозяйственному налогу - «Рыболовство, рыбоводство» - 99,7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w:t>
      </w:r>
    </w:p>
    <w:p w:rsidR="004871C3" w:rsidRPr="00EC20F8" w:rsidRDefault="004871C3" w:rsidP="004871C3">
      <w:pPr>
        <w:shd w:val="clear" w:color="auto" w:fill="FFFFFF"/>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Наибольшая доля от общего объема налогов поступила в бюджет городского округа от предприятий оптовой и розничной торговли, занимающихся ремонтом автотранспортных средств, мотоциклов, бытовых изделий и предметов личного пользования – 25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xml:space="preserve">; 14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xml:space="preserve"> - от организаций, занимающихся операциями с недвижимостью, арендой и предоставлением услуг; от предприятий отрасли рыболовства и рыбоводства поступило всего 0,3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xml:space="preserve"> налогов.</w:t>
      </w:r>
      <w:proofErr w:type="gramEnd"/>
    </w:p>
    <w:p w:rsidR="004871C3" w:rsidRPr="00EC20F8" w:rsidRDefault="004871C3" w:rsidP="004871C3">
      <w:pPr>
        <w:shd w:val="clear" w:color="auto" w:fill="FFFFFF"/>
        <w:ind w:firstLine="708"/>
        <w:jc w:val="both"/>
        <w:rPr>
          <w:rFonts w:ascii="Times New Roman" w:hAnsi="Times New Roman" w:cs="Times New Roman"/>
          <w:sz w:val="28"/>
          <w:szCs w:val="28"/>
        </w:rPr>
      </w:pPr>
      <w:r w:rsidRPr="00EC20F8">
        <w:rPr>
          <w:rFonts w:ascii="Times New Roman" w:hAnsi="Times New Roman" w:cs="Times New Roman"/>
          <w:sz w:val="28"/>
          <w:szCs w:val="28"/>
        </w:rPr>
        <w:t xml:space="preserve">Неналоговые доходы сохраняют второстепенную роль. Их удельный вес в общей сумме доходов незначителен и не превышает 5,1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xml:space="preserve">. При этом темп роста к прошлому году значительно увеличился –  на 34,8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xml:space="preserve">. </w:t>
      </w:r>
    </w:p>
    <w:p w:rsidR="004871C3" w:rsidRPr="00EC20F8" w:rsidRDefault="004871C3" w:rsidP="004871C3">
      <w:pPr>
        <w:shd w:val="clear" w:color="auto" w:fill="FFFFFF"/>
        <w:ind w:left="708" w:firstLine="1"/>
        <w:jc w:val="both"/>
        <w:rPr>
          <w:rFonts w:ascii="Times New Roman" w:hAnsi="Times New Roman" w:cs="Times New Roman"/>
          <w:sz w:val="28"/>
          <w:szCs w:val="28"/>
        </w:rPr>
      </w:pPr>
      <w:r w:rsidRPr="00EC20F8">
        <w:rPr>
          <w:rFonts w:ascii="Times New Roman" w:hAnsi="Times New Roman" w:cs="Times New Roman"/>
          <w:sz w:val="28"/>
          <w:szCs w:val="28"/>
        </w:rPr>
        <w:t>Причинами значительного роста неналоговых доходов являются:</w:t>
      </w:r>
    </w:p>
    <w:p w:rsidR="004871C3" w:rsidRPr="00EC20F8" w:rsidRDefault="004871C3" w:rsidP="004871C3">
      <w:pPr>
        <w:shd w:val="clear" w:color="auto" w:fill="FFFFFF"/>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увеличение дохода от уплаты штрафов, санкций и возмещений ущерба, связано с увеличением взысканий за нарушения законодательства Российской Федерации, законодательства о налогах и сборах, а так же введением с 01.09.2013 изменений в Кодекс Российской Федерации об административных правонарушениях, согласно которым резко возросли штрафы за нарушения правил дорожного движения;</w:t>
      </w:r>
      <w:proofErr w:type="gramEnd"/>
    </w:p>
    <w:p w:rsidR="004871C3" w:rsidRPr="00EC20F8" w:rsidRDefault="004871C3" w:rsidP="004871C3">
      <w:pPr>
        <w:shd w:val="clear" w:color="auto" w:fill="FFFFFF"/>
        <w:ind w:firstLine="709"/>
        <w:jc w:val="both"/>
        <w:rPr>
          <w:rFonts w:ascii="Times New Roman" w:hAnsi="Times New Roman" w:cs="Times New Roman"/>
          <w:sz w:val="28"/>
          <w:szCs w:val="28"/>
        </w:rPr>
      </w:pPr>
      <w:r w:rsidRPr="00EC20F8">
        <w:rPr>
          <w:rFonts w:ascii="Times New Roman" w:hAnsi="Times New Roman" w:cs="Times New Roman"/>
          <w:sz w:val="28"/>
          <w:szCs w:val="28"/>
        </w:rPr>
        <w:t>увеличение дивидендов по акциям ОАО «Молокозавод Петропавловский», размер которых принимается на общем собрании акционеров в соответствии со ст. 42 Федерального закона от 07.08.2001                         № 120-ФЗ «Об акционерных обществах»;</w:t>
      </w:r>
    </w:p>
    <w:p w:rsidR="004871C3" w:rsidRPr="00EC20F8" w:rsidRDefault="004871C3" w:rsidP="004871C3">
      <w:pPr>
        <w:shd w:val="clear" w:color="auto" w:fill="FFFFFF"/>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увеличение кадастровой стоимости земельных участков, повлекло за собой увеличение размера годовой арендной платы в 2013 году по сравнению с 2012 годом. </w:t>
      </w:r>
      <w:proofErr w:type="gramStart"/>
      <w:r w:rsidRPr="00EC20F8">
        <w:rPr>
          <w:rFonts w:ascii="Times New Roman" w:hAnsi="Times New Roman" w:cs="Times New Roman"/>
          <w:sz w:val="28"/>
          <w:szCs w:val="28"/>
        </w:rPr>
        <w:t>Распоряжением Министерства имущественных и земельных отношений Камчатского края от 29 ноября 2012 № 981-р «Об утверждении результатов государственной кадастровой оценки земельных участков в составе земель населенных пунктов на территории Камчатского края» утверждены результаты государственной кадастровой оценки земель населенных пунктов Камчатского края по состоянию на 1 января 2012 года, с учетом применения их с 1 января 2013 года.</w:t>
      </w:r>
      <w:proofErr w:type="gramEnd"/>
      <w:r w:rsidRPr="00EC20F8">
        <w:rPr>
          <w:rFonts w:ascii="Times New Roman" w:hAnsi="Times New Roman" w:cs="Times New Roman"/>
          <w:sz w:val="28"/>
          <w:szCs w:val="28"/>
        </w:rPr>
        <w:t xml:space="preserve"> Результаты государственной кадастровой </w:t>
      </w:r>
      <w:proofErr w:type="gramStart"/>
      <w:r w:rsidRPr="00EC20F8">
        <w:rPr>
          <w:rFonts w:ascii="Times New Roman" w:hAnsi="Times New Roman" w:cs="Times New Roman"/>
          <w:sz w:val="28"/>
          <w:szCs w:val="28"/>
        </w:rPr>
        <w:t>оценки земель населенных пунктов Камчатского края</w:t>
      </w:r>
      <w:proofErr w:type="gramEnd"/>
      <w:r w:rsidRPr="00EC20F8">
        <w:rPr>
          <w:rFonts w:ascii="Times New Roman" w:hAnsi="Times New Roman" w:cs="Times New Roman"/>
          <w:sz w:val="28"/>
          <w:szCs w:val="28"/>
        </w:rPr>
        <w:t xml:space="preserve"> применены</w:t>
      </w:r>
      <w:r w:rsidR="001B413D" w:rsidRPr="00EC20F8">
        <w:rPr>
          <w:rFonts w:ascii="Times New Roman" w:hAnsi="Times New Roman" w:cs="Times New Roman"/>
          <w:sz w:val="28"/>
          <w:szCs w:val="28"/>
        </w:rPr>
        <w:t xml:space="preserve"> для расчета арендной платы на </w:t>
      </w:r>
      <w:r w:rsidRPr="00EC20F8">
        <w:rPr>
          <w:rFonts w:ascii="Times New Roman" w:hAnsi="Times New Roman" w:cs="Times New Roman"/>
          <w:sz w:val="28"/>
          <w:szCs w:val="28"/>
        </w:rPr>
        <w:t>2013 год;</w:t>
      </w:r>
    </w:p>
    <w:p w:rsidR="004871C3" w:rsidRPr="00EC20F8" w:rsidRDefault="001B413D" w:rsidP="004871C3">
      <w:pPr>
        <w:shd w:val="clear" w:color="auto" w:fill="FFFFFF"/>
        <w:ind w:firstLine="709"/>
        <w:jc w:val="both"/>
        <w:rPr>
          <w:rFonts w:ascii="Times New Roman" w:hAnsi="Times New Roman" w:cs="Times New Roman"/>
          <w:sz w:val="28"/>
          <w:szCs w:val="28"/>
        </w:rPr>
      </w:pPr>
      <w:r w:rsidRPr="00EC20F8">
        <w:rPr>
          <w:rFonts w:ascii="Times New Roman" w:hAnsi="Times New Roman" w:cs="Times New Roman"/>
          <w:sz w:val="28"/>
          <w:szCs w:val="28"/>
        </w:rPr>
        <w:t>увеличение поступлений в бюджет</w:t>
      </w:r>
      <w:r w:rsidR="004871C3" w:rsidRPr="00EC20F8">
        <w:rPr>
          <w:rFonts w:ascii="Times New Roman" w:hAnsi="Times New Roman" w:cs="Times New Roman"/>
          <w:sz w:val="28"/>
          <w:szCs w:val="28"/>
        </w:rPr>
        <w:t xml:space="preserve"> городского округа  платежей при пользовании природными ресурсами;</w:t>
      </w:r>
    </w:p>
    <w:p w:rsidR="004871C3" w:rsidRPr="00EC20F8" w:rsidRDefault="004871C3" w:rsidP="004871C3">
      <w:pPr>
        <w:shd w:val="clear" w:color="auto" w:fill="FFFFFF"/>
        <w:ind w:firstLine="709"/>
        <w:jc w:val="both"/>
        <w:rPr>
          <w:rFonts w:ascii="Times New Roman" w:hAnsi="Times New Roman" w:cs="Times New Roman"/>
          <w:sz w:val="28"/>
          <w:szCs w:val="28"/>
        </w:rPr>
      </w:pPr>
      <w:r w:rsidRPr="00EC20F8">
        <w:rPr>
          <w:rFonts w:ascii="Times New Roman" w:hAnsi="Times New Roman" w:cs="Times New Roman"/>
          <w:sz w:val="28"/>
          <w:szCs w:val="28"/>
        </w:rPr>
        <w:t>у</w:t>
      </w:r>
      <w:r w:rsidR="001B413D" w:rsidRPr="00EC20F8">
        <w:rPr>
          <w:rFonts w:ascii="Times New Roman" w:hAnsi="Times New Roman" w:cs="Times New Roman"/>
          <w:sz w:val="28"/>
          <w:szCs w:val="28"/>
        </w:rPr>
        <w:t>величение поступлений в бюджет городского округа</w:t>
      </w:r>
      <w:r w:rsidRPr="00EC20F8">
        <w:rPr>
          <w:rFonts w:ascii="Times New Roman" w:hAnsi="Times New Roman" w:cs="Times New Roman"/>
          <w:sz w:val="28"/>
          <w:szCs w:val="28"/>
        </w:rPr>
        <w:t xml:space="preserve"> доходов от оказания платных услуг и компенсации затрат государства в связи с оплатой задолженности МАУ «Управление жилищно-коммунального хозяйства                         г. Петропавловска-Камчатского» в размере 55,7 </w:t>
      </w:r>
      <w:proofErr w:type="spellStart"/>
      <w:proofErr w:type="gramStart"/>
      <w:r w:rsidR="00153BA5" w:rsidRPr="00EC20F8">
        <w:rPr>
          <w:rFonts w:ascii="Times New Roman" w:hAnsi="Times New Roman" w:cs="Times New Roman"/>
          <w:sz w:val="28"/>
          <w:szCs w:val="28"/>
        </w:rPr>
        <w:t>млн</w:t>
      </w:r>
      <w:proofErr w:type="spellEnd"/>
      <w:proofErr w:type="gramEnd"/>
      <w:r w:rsidR="00153BA5" w:rsidRPr="00EC20F8">
        <w:rPr>
          <w:rFonts w:ascii="Times New Roman" w:hAnsi="Times New Roman" w:cs="Times New Roman"/>
          <w:sz w:val="28"/>
          <w:szCs w:val="28"/>
        </w:rPr>
        <w:t xml:space="preserve"> рублей</w:t>
      </w:r>
      <w:r w:rsidRPr="00EC20F8">
        <w:rPr>
          <w:rFonts w:ascii="Times New Roman" w:hAnsi="Times New Roman" w:cs="Times New Roman"/>
          <w:sz w:val="28"/>
          <w:szCs w:val="28"/>
        </w:rPr>
        <w:t xml:space="preserve"> в рамках исполнения промежуточного ликвидационного баланса учреждения.  </w:t>
      </w:r>
    </w:p>
    <w:p w:rsidR="004871C3" w:rsidRPr="00EC20F8" w:rsidRDefault="004871C3" w:rsidP="004871C3">
      <w:pPr>
        <w:shd w:val="clear" w:color="auto" w:fill="FFFFFF"/>
        <w:ind w:firstLine="709"/>
        <w:jc w:val="both"/>
        <w:rPr>
          <w:rFonts w:ascii="Times New Roman" w:hAnsi="Times New Roman" w:cs="Times New Roman"/>
          <w:sz w:val="28"/>
          <w:szCs w:val="28"/>
        </w:rPr>
      </w:pPr>
      <w:r w:rsidRPr="00EC20F8">
        <w:rPr>
          <w:rFonts w:ascii="Times New Roman" w:hAnsi="Times New Roman" w:cs="Times New Roman"/>
          <w:sz w:val="28"/>
          <w:szCs w:val="28"/>
        </w:rPr>
        <w:t>В общем объёме неналоговых доходов в 2013 году основную долю занимают:</w:t>
      </w:r>
    </w:p>
    <w:p w:rsidR="004871C3" w:rsidRPr="00EC20F8" w:rsidRDefault="004871C3" w:rsidP="004871C3">
      <w:pPr>
        <w:numPr>
          <w:ilvl w:val="0"/>
          <w:numId w:val="11"/>
        </w:numPr>
        <w:shd w:val="clear" w:color="auto" w:fill="FFFFFF"/>
        <w:spacing w:line="240" w:lineRule="auto"/>
        <w:ind w:left="0"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доходы от использования имущества, находящегося в муниципальной собственности - 49,8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xml:space="preserve">; </w:t>
      </w:r>
    </w:p>
    <w:p w:rsidR="004871C3" w:rsidRPr="00EC20F8" w:rsidRDefault="004871C3" w:rsidP="004871C3">
      <w:pPr>
        <w:numPr>
          <w:ilvl w:val="0"/>
          <w:numId w:val="11"/>
        </w:numPr>
        <w:shd w:val="clear" w:color="auto" w:fill="FFFFFF"/>
        <w:spacing w:line="240" w:lineRule="auto"/>
        <w:ind w:left="0"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доля штрафов, санкций, поступлений от возмещения ущерба составила 22,2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xml:space="preserve"> от неналоговых доходов, снизившись в сравнении с 2012 годом на 0,3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xml:space="preserve">; </w:t>
      </w:r>
    </w:p>
    <w:p w:rsidR="004871C3" w:rsidRPr="00EC20F8" w:rsidRDefault="004871C3" w:rsidP="004871C3">
      <w:pPr>
        <w:numPr>
          <w:ilvl w:val="0"/>
          <w:numId w:val="11"/>
        </w:numPr>
        <w:shd w:val="clear" w:color="auto" w:fill="FFFFFF"/>
        <w:spacing w:line="240" w:lineRule="auto"/>
        <w:ind w:left="0"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доходы от продажи материальных и нематериальных активов составили 11,2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w:t>
      </w:r>
    </w:p>
    <w:p w:rsidR="004871C3" w:rsidRPr="00EC20F8" w:rsidRDefault="004871C3" w:rsidP="004871C3">
      <w:pPr>
        <w:shd w:val="clear" w:color="auto" w:fill="FFFFFF"/>
        <w:ind w:firstLine="708"/>
        <w:jc w:val="both"/>
        <w:rPr>
          <w:rFonts w:ascii="Times New Roman" w:hAnsi="Times New Roman" w:cs="Times New Roman"/>
          <w:sz w:val="28"/>
          <w:szCs w:val="28"/>
        </w:rPr>
      </w:pPr>
      <w:r w:rsidRPr="00EC20F8">
        <w:rPr>
          <w:rFonts w:ascii="Times New Roman" w:hAnsi="Times New Roman" w:cs="Times New Roman"/>
          <w:sz w:val="28"/>
          <w:szCs w:val="28"/>
        </w:rPr>
        <w:t xml:space="preserve">Доля доходов от оказания платных услуг увеличилась с  4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xml:space="preserve"> в 2012 году до 12,1 </w:t>
      </w:r>
      <w:r w:rsidR="00CE391C" w:rsidRPr="00EC20F8">
        <w:rPr>
          <w:rFonts w:ascii="Times New Roman" w:hAnsi="Times New Roman" w:cs="Times New Roman"/>
          <w:sz w:val="28"/>
          <w:szCs w:val="28"/>
        </w:rPr>
        <w:t>%</w:t>
      </w:r>
      <w:r w:rsidR="00990E00" w:rsidRPr="00EC20F8">
        <w:rPr>
          <w:rFonts w:ascii="Times New Roman" w:hAnsi="Times New Roman" w:cs="Times New Roman"/>
          <w:sz w:val="28"/>
          <w:szCs w:val="28"/>
        </w:rPr>
        <w:t xml:space="preserve"> в 2013 году. </w:t>
      </w:r>
      <w:r w:rsidRPr="00EC20F8">
        <w:rPr>
          <w:rFonts w:ascii="Times New Roman" w:hAnsi="Times New Roman" w:cs="Times New Roman"/>
          <w:sz w:val="28"/>
          <w:szCs w:val="28"/>
        </w:rPr>
        <w:t xml:space="preserve">Доля платежей при пользовании природными ресурсами увеличилась с 4,2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xml:space="preserve"> в 2012 году до 4,9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xml:space="preserve"> в 2013 году.</w:t>
      </w:r>
    </w:p>
    <w:p w:rsidR="004871C3" w:rsidRPr="00EC20F8" w:rsidRDefault="004871C3" w:rsidP="004871C3">
      <w:pPr>
        <w:shd w:val="clear" w:color="auto" w:fill="FFFFFF"/>
        <w:ind w:firstLine="709"/>
        <w:jc w:val="both"/>
        <w:rPr>
          <w:rFonts w:ascii="Times New Roman" w:hAnsi="Times New Roman" w:cs="Times New Roman"/>
          <w:sz w:val="28"/>
          <w:szCs w:val="28"/>
        </w:rPr>
      </w:pPr>
      <w:r w:rsidRPr="00EC20F8">
        <w:rPr>
          <w:rFonts w:ascii="Times New Roman" w:hAnsi="Times New Roman" w:cs="Times New Roman"/>
          <w:b/>
          <w:i/>
          <w:sz w:val="28"/>
          <w:szCs w:val="28"/>
        </w:rPr>
        <w:t>Доходная часть бюджета городского округа на 2014 год</w:t>
      </w:r>
      <w:r w:rsidRPr="00EC20F8">
        <w:rPr>
          <w:rFonts w:ascii="Times New Roman" w:hAnsi="Times New Roman" w:cs="Times New Roman"/>
          <w:sz w:val="28"/>
          <w:szCs w:val="28"/>
        </w:rPr>
        <w:t xml:space="preserve"> сформирована с учетом изменений налогового и бюджетного законодательства Российской Федерации:</w:t>
      </w:r>
    </w:p>
    <w:p w:rsidR="004871C3" w:rsidRPr="00EC20F8" w:rsidRDefault="004871C3" w:rsidP="004871C3">
      <w:pPr>
        <w:shd w:val="clear" w:color="auto" w:fill="FFFFFF"/>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налог на доходы физических лиц – с 1 января 2014 года зачисляется в бюджет городского округа по нормативу 15,0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xml:space="preserve"> (Федеральный закон от 23.07.2013 № 252- ФЗ), ранее – 20,0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w:t>
      </w:r>
    </w:p>
    <w:p w:rsidR="004871C3" w:rsidRPr="00EC20F8" w:rsidRDefault="004871C3" w:rsidP="004871C3">
      <w:pPr>
        <w:shd w:val="clear" w:color="auto" w:fill="FFFFFF"/>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плата за негативное воздействие на окружающую среду - с 1 января 2016 года (Федеральный </w:t>
      </w:r>
      <w:hyperlink r:id="rId31" w:history="1">
        <w:r w:rsidRPr="00EC20F8">
          <w:rPr>
            <w:rFonts w:ascii="Times New Roman" w:hAnsi="Times New Roman" w:cs="Times New Roman"/>
            <w:sz w:val="28"/>
            <w:szCs w:val="28"/>
          </w:rPr>
          <w:t>закон</w:t>
        </w:r>
      </w:hyperlink>
      <w:r w:rsidRPr="00EC20F8">
        <w:rPr>
          <w:rFonts w:ascii="Times New Roman" w:hAnsi="Times New Roman" w:cs="Times New Roman"/>
          <w:sz w:val="28"/>
          <w:szCs w:val="28"/>
        </w:rPr>
        <w:t xml:space="preserve"> от 03.12.2012 № 244-Ф</w:t>
      </w:r>
      <w:r w:rsidR="00990E00" w:rsidRPr="00EC20F8">
        <w:rPr>
          <w:rFonts w:ascii="Times New Roman" w:hAnsi="Times New Roman" w:cs="Times New Roman"/>
          <w:sz w:val="28"/>
          <w:szCs w:val="28"/>
        </w:rPr>
        <w:t>З) подлежит зачислению в бюджет</w:t>
      </w:r>
      <w:r w:rsidRPr="00EC20F8">
        <w:rPr>
          <w:rFonts w:ascii="Times New Roman" w:hAnsi="Times New Roman" w:cs="Times New Roman"/>
          <w:sz w:val="28"/>
          <w:szCs w:val="28"/>
        </w:rPr>
        <w:t xml:space="preserve"> городского округа по нормативу 55,0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xml:space="preserve"> (ранее – </w:t>
      </w:r>
      <w:r w:rsidR="00CE391C" w:rsidRPr="00EC20F8">
        <w:rPr>
          <w:rFonts w:ascii="Times New Roman" w:hAnsi="Times New Roman" w:cs="Times New Roman"/>
          <w:sz w:val="28"/>
          <w:szCs w:val="28"/>
        </w:rPr>
        <w:t xml:space="preserve">        </w:t>
      </w:r>
      <w:r w:rsidRPr="00EC20F8">
        <w:rPr>
          <w:rFonts w:ascii="Times New Roman" w:hAnsi="Times New Roman" w:cs="Times New Roman"/>
          <w:sz w:val="28"/>
          <w:szCs w:val="28"/>
        </w:rPr>
        <w:t xml:space="preserve">40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w:t>
      </w:r>
    </w:p>
    <w:p w:rsidR="004871C3" w:rsidRPr="00EC20F8" w:rsidRDefault="004871C3" w:rsidP="004871C3">
      <w:pPr>
        <w:shd w:val="clear" w:color="auto" w:fill="FFFFFF"/>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доходы от передачи в аренду земельных участков,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 с 1 января 2014 года зачисляются в бюджет  городского округа по нормативу 100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xml:space="preserve"> (Федеральный </w:t>
      </w:r>
      <w:hyperlink r:id="rId32" w:history="1">
        <w:r w:rsidRPr="00EC20F8">
          <w:rPr>
            <w:rFonts w:ascii="Times New Roman" w:hAnsi="Times New Roman" w:cs="Times New Roman"/>
            <w:sz w:val="28"/>
            <w:szCs w:val="28"/>
          </w:rPr>
          <w:t>закон</w:t>
        </w:r>
      </w:hyperlink>
      <w:r w:rsidRPr="00EC20F8">
        <w:rPr>
          <w:rFonts w:ascii="Times New Roman" w:hAnsi="Times New Roman" w:cs="Times New Roman"/>
          <w:sz w:val="28"/>
          <w:szCs w:val="28"/>
        </w:rPr>
        <w:t xml:space="preserve"> от 03.12.2012 № 244-ФЗ) ранее – 80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w:t>
      </w:r>
      <w:proofErr w:type="gramEnd"/>
    </w:p>
    <w:p w:rsidR="004871C3" w:rsidRPr="00EC20F8" w:rsidRDefault="004871C3" w:rsidP="004871C3">
      <w:pPr>
        <w:shd w:val="clear" w:color="auto" w:fill="FFFFFF"/>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доходы от продажи земельных участков, государственная собственность на которые не разграничена и которые расположены в границах городских округов, - с 1 января 2014 года зачисляются  в бюджет  городского округа по нормативу 100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xml:space="preserve"> (Федеральный </w:t>
      </w:r>
      <w:hyperlink r:id="rId33" w:history="1">
        <w:r w:rsidRPr="00EC20F8">
          <w:rPr>
            <w:rFonts w:ascii="Times New Roman" w:hAnsi="Times New Roman" w:cs="Times New Roman"/>
            <w:sz w:val="28"/>
            <w:szCs w:val="28"/>
          </w:rPr>
          <w:t>закон</w:t>
        </w:r>
      </w:hyperlink>
      <w:r w:rsidRPr="00EC20F8">
        <w:rPr>
          <w:rFonts w:ascii="Times New Roman" w:hAnsi="Times New Roman" w:cs="Times New Roman"/>
          <w:sz w:val="28"/>
          <w:szCs w:val="28"/>
        </w:rPr>
        <w:t xml:space="preserve"> от 03.12.2012 </w:t>
      </w:r>
      <w:r w:rsidR="00CE391C" w:rsidRPr="00EC20F8">
        <w:rPr>
          <w:rFonts w:ascii="Times New Roman" w:hAnsi="Times New Roman" w:cs="Times New Roman"/>
          <w:sz w:val="28"/>
          <w:szCs w:val="28"/>
        </w:rPr>
        <w:t xml:space="preserve">  </w:t>
      </w:r>
      <w:r w:rsidRPr="00EC20F8">
        <w:rPr>
          <w:rFonts w:ascii="Times New Roman" w:hAnsi="Times New Roman" w:cs="Times New Roman"/>
          <w:sz w:val="28"/>
          <w:szCs w:val="28"/>
        </w:rPr>
        <w:t xml:space="preserve">№ 244-ФЗ), ранее - 80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w:t>
      </w:r>
    </w:p>
    <w:p w:rsidR="004871C3" w:rsidRPr="00EC20F8" w:rsidRDefault="004871C3" w:rsidP="004871C3">
      <w:pPr>
        <w:shd w:val="clear" w:color="auto" w:fill="FFFFFF"/>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С 01 января 2014 года, в соответствии с Федеральным законом от 03.12.2012 № 244-ФЗ органы государственной власти субъекта Российской Федерации обязаны установить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w:t>
      </w:r>
      <w:proofErr w:type="spellStart"/>
      <w:r w:rsidRPr="00EC20F8">
        <w:rPr>
          <w:rFonts w:ascii="Times New Roman" w:hAnsi="Times New Roman" w:cs="Times New Roman"/>
          <w:sz w:val="28"/>
          <w:szCs w:val="28"/>
        </w:rPr>
        <w:t>инжекторных</w:t>
      </w:r>
      <w:proofErr w:type="spellEnd"/>
      <w:r w:rsidRPr="00EC20F8">
        <w:rPr>
          <w:rFonts w:ascii="Times New Roman" w:hAnsi="Times New Roman" w:cs="Times New Roman"/>
          <w:sz w:val="28"/>
          <w:szCs w:val="28"/>
        </w:rPr>
        <w:t xml:space="preserve">) двигателей, производимые на территории Российской Федерации, исходя из зачисления в местные бюджеты не менее 10 </w:t>
      </w:r>
      <w:r w:rsidR="00E97AE5" w:rsidRPr="00EC20F8">
        <w:rPr>
          <w:rFonts w:ascii="Times New Roman" w:hAnsi="Times New Roman" w:cs="Times New Roman"/>
          <w:sz w:val="28"/>
          <w:szCs w:val="28"/>
        </w:rPr>
        <w:t xml:space="preserve">% </w:t>
      </w:r>
      <w:r w:rsidRPr="00EC20F8">
        <w:rPr>
          <w:rFonts w:ascii="Times New Roman" w:hAnsi="Times New Roman" w:cs="Times New Roman"/>
          <w:sz w:val="28"/>
          <w:szCs w:val="28"/>
        </w:rPr>
        <w:t>налоговых</w:t>
      </w:r>
      <w:proofErr w:type="gramEnd"/>
      <w:r w:rsidRPr="00EC20F8">
        <w:rPr>
          <w:rFonts w:ascii="Times New Roman" w:hAnsi="Times New Roman" w:cs="Times New Roman"/>
          <w:sz w:val="28"/>
          <w:szCs w:val="28"/>
        </w:rPr>
        <w:t xml:space="preserve"> доходов консолидированного бюджета субъекта Российской Федерации от указанного налога.</w:t>
      </w:r>
    </w:p>
    <w:p w:rsidR="004871C3" w:rsidRPr="00EC20F8" w:rsidRDefault="004871C3" w:rsidP="004871C3">
      <w:pPr>
        <w:shd w:val="clear" w:color="auto" w:fill="FFFFFF"/>
        <w:ind w:firstLine="709"/>
        <w:jc w:val="both"/>
        <w:rPr>
          <w:rFonts w:ascii="Times New Roman" w:hAnsi="Times New Roman" w:cs="Times New Roman"/>
          <w:sz w:val="28"/>
          <w:szCs w:val="28"/>
        </w:rPr>
      </w:pPr>
      <w:r w:rsidRPr="00EC20F8">
        <w:rPr>
          <w:rFonts w:ascii="Times New Roman" w:hAnsi="Times New Roman" w:cs="Times New Roman"/>
          <w:sz w:val="28"/>
          <w:szCs w:val="28"/>
        </w:rPr>
        <w:t>Размеры указанных дифференцированных нормативов отчислений в местные бюджеты устанавливаются исходя из протяженности автомобильных дорог местного значения, находящихся в собственности соответствующих муниципальных образований. Данные средства направляются в муниципальные Дорожные фонды.</w:t>
      </w:r>
    </w:p>
    <w:p w:rsidR="004871C3" w:rsidRPr="00EC20F8" w:rsidRDefault="004871C3" w:rsidP="004871C3">
      <w:pPr>
        <w:shd w:val="clear" w:color="auto" w:fill="FFFFFF"/>
        <w:ind w:firstLine="709"/>
        <w:jc w:val="both"/>
        <w:rPr>
          <w:rFonts w:ascii="Times New Roman" w:hAnsi="Times New Roman" w:cs="Times New Roman"/>
          <w:sz w:val="28"/>
          <w:szCs w:val="28"/>
        </w:rPr>
      </w:pPr>
      <w:r w:rsidRPr="00EC20F8">
        <w:rPr>
          <w:rFonts w:ascii="Times New Roman" w:hAnsi="Times New Roman" w:cs="Times New Roman"/>
          <w:sz w:val="28"/>
          <w:szCs w:val="28"/>
        </w:rPr>
        <w:t>За 1 полугодие 2014 года поступления налогов и платежей, собранных в городском округе, в бюджетную систему Российской Федерации, с учетом поступлений в государственные социальные внебюджетные фонды составили 7</w:t>
      </w:r>
      <w:r w:rsidR="001B413D" w:rsidRPr="00EC20F8">
        <w:rPr>
          <w:rFonts w:ascii="Times New Roman" w:hAnsi="Times New Roman" w:cs="Times New Roman"/>
          <w:sz w:val="28"/>
          <w:szCs w:val="28"/>
        </w:rPr>
        <w:t xml:space="preserve"> </w:t>
      </w:r>
      <w:r w:rsidRPr="00EC20F8">
        <w:rPr>
          <w:rFonts w:ascii="Times New Roman" w:hAnsi="Times New Roman" w:cs="Times New Roman"/>
          <w:sz w:val="28"/>
          <w:szCs w:val="28"/>
        </w:rPr>
        <w:t xml:space="preserve">396 </w:t>
      </w:r>
      <w:proofErr w:type="spellStart"/>
      <w:proofErr w:type="gramStart"/>
      <w:r w:rsidR="00153BA5" w:rsidRPr="00EC20F8">
        <w:rPr>
          <w:rFonts w:ascii="Times New Roman" w:hAnsi="Times New Roman" w:cs="Times New Roman"/>
          <w:sz w:val="28"/>
          <w:szCs w:val="28"/>
        </w:rPr>
        <w:t>млн</w:t>
      </w:r>
      <w:proofErr w:type="spellEnd"/>
      <w:proofErr w:type="gramEnd"/>
      <w:r w:rsidR="00153BA5" w:rsidRPr="00EC20F8">
        <w:rPr>
          <w:rFonts w:ascii="Times New Roman" w:hAnsi="Times New Roman" w:cs="Times New Roman"/>
          <w:sz w:val="28"/>
          <w:szCs w:val="28"/>
        </w:rPr>
        <w:t xml:space="preserve"> рублей</w:t>
      </w:r>
      <w:r w:rsidR="00A25268" w:rsidRPr="00EC20F8">
        <w:rPr>
          <w:rFonts w:ascii="Times New Roman" w:hAnsi="Times New Roman" w:cs="Times New Roman"/>
          <w:sz w:val="28"/>
          <w:szCs w:val="28"/>
        </w:rPr>
        <w:t>:</w:t>
      </w:r>
    </w:p>
    <w:p w:rsidR="00A25268" w:rsidRPr="00EC20F8" w:rsidRDefault="00A25268" w:rsidP="004871C3">
      <w:pPr>
        <w:shd w:val="clear" w:color="auto" w:fill="FFFFFF"/>
        <w:ind w:firstLine="709"/>
        <w:jc w:val="both"/>
        <w:rPr>
          <w:rFonts w:ascii="Times New Roman" w:hAnsi="Times New Roman" w:cs="Times New Roman"/>
          <w:sz w:val="12"/>
          <w:szCs w:val="12"/>
        </w:rPr>
      </w:pPr>
    </w:p>
    <w:p w:rsidR="004871C3" w:rsidRPr="00EC20F8" w:rsidRDefault="004871C3" w:rsidP="004871C3">
      <w:pPr>
        <w:autoSpaceDE w:val="0"/>
        <w:autoSpaceDN w:val="0"/>
        <w:adjustRightInd w:val="0"/>
        <w:ind w:firstLine="540"/>
        <w:jc w:val="both"/>
        <w:rPr>
          <w:rFonts w:ascii="Times New Roman" w:hAnsi="Times New Roman" w:cs="Times New Roman"/>
          <w:sz w:val="28"/>
          <w:szCs w:val="28"/>
        </w:rPr>
      </w:pPr>
      <w:r w:rsidRPr="00EC20F8">
        <w:rPr>
          <w:rFonts w:ascii="Times New Roman" w:hAnsi="Times New Roman" w:cs="Times New Roman"/>
          <w:noProof/>
          <w:sz w:val="28"/>
          <w:szCs w:val="28"/>
          <w:bdr w:val="single" w:sz="4" w:space="0" w:color="auto"/>
          <w:lang w:eastAsia="ru-RU"/>
        </w:rPr>
        <w:drawing>
          <wp:inline distT="0" distB="0" distL="0" distR="0">
            <wp:extent cx="5467350" cy="1924050"/>
            <wp:effectExtent l="0" t="0" r="0" b="0"/>
            <wp:docPr id="9" name="Объе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4871C3" w:rsidRPr="00EC20F8" w:rsidRDefault="004871C3" w:rsidP="004871C3">
      <w:pPr>
        <w:autoSpaceDE w:val="0"/>
        <w:autoSpaceDN w:val="0"/>
        <w:adjustRightInd w:val="0"/>
        <w:ind w:firstLine="540"/>
        <w:jc w:val="both"/>
        <w:rPr>
          <w:rFonts w:ascii="Times New Roman" w:hAnsi="Times New Roman" w:cs="Times New Roman"/>
          <w:sz w:val="12"/>
          <w:szCs w:val="12"/>
        </w:rPr>
      </w:pPr>
    </w:p>
    <w:p w:rsidR="00737AD6" w:rsidRPr="00EC20F8" w:rsidRDefault="00737AD6" w:rsidP="00737AD6">
      <w:pPr>
        <w:autoSpaceDE w:val="0"/>
        <w:autoSpaceDN w:val="0"/>
        <w:adjustRightInd w:val="0"/>
        <w:ind w:firstLine="540"/>
        <w:jc w:val="center"/>
        <w:rPr>
          <w:sz w:val="28"/>
          <w:szCs w:val="28"/>
        </w:rPr>
      </w:pPr>
      <w:r w:rsidRPr="00EC20F8">
        <w:rPr>
          <w:rFonts w:ascii="Times New Roman" w:hAnsi="Times New Roman" w:cs="Times New Roman"/>
          <w:i/>
        </w:rPr>
        <w:t>Рис. 17.2. Поступление налогов, сборов и платежей в бюджетную систему Российской Федерации, консолидируемых на территории городского округа, в 1полугодии 2014 года</w:t>
      </w:r>
    </w:p>
    <w:p w:rsidR="00A25268" w:rsidRPr="00EC20F8" w:rsidRDefault="00A25268" w:rsidP="004871C3">
      <w:pPr>
        <w:shd w:val="clear" w:color="auto" w:fill="FFFFFF"/>
        <w:ind w:firstLine="709"/>
        <w:jc w:val="both"/>
        <w:rPr>
          <w:rFonts w:ascii="Times New Roman" w:hAnsi="Times New Roman" w:cs="Times New Roman"/>
          <w:spacing w:val="5"/>
          <w:sz w:val="28"/>
          <w:szCs w:val="28"/>
        </w:rPr>
      </w:pPr>
    </w:p>
    <w:p w:rsidR="004871C3" w:rsidRPr="00EC20F8" w:rsidRDefault="004871C3" w:rsidP="00A25268">
      <w:pPr>
        <w:shd w:val="clear" w:color="auto" w:fill="FFFFFF"/>
        <w:ind w:firstLine="709"/>
        <w:jc w:val="both"/>
        <w:rPr>
          <w:rFonts w:ascii="Times New Roman" w:hAnsi="Times New Roman" w:cs="Times New Roman"/>
          <w:spacing w:val="5"/>
          <w:sz w:val="28"/>
          <w:szCs w:val="28"/>
        </w:rPr>
      </w:pPr>
      <w:r w:rsidRPr="00EC20F8">
        <w:rPr>
          <w:rFonts w:ascii="Times New Roman" w:hAnsi="Times New Roman" w:cs="Times New Roman"/>
          <w:spacing w:val="5"/>
          <w:sz w:val="28"/>
          <w:szCs w:val="28"/>
        </w:rPr>
        <w:t xml:space="preserve">В 2014 году муниципальные финансы развиваются со снижением темпов роста налоговых и неналоговых доходов на 11,2 </w:t>
      </w:r>
      <w:r w:rsidR="00CE391C" w:rsidRPr="00EC20F8">
        <w:rPr>
          <w:rFonts w:ascii="Times New Roman" w:hAnsi="Times New Roman" w:cs="Times New Roman"/>
          <w:spacing w:val="5"/>
          <w:sz w:val="28"/>
          <w:szCs w:val="28"/>
        </w:rPr>
        <w:t>%</w:t>
      </w:r>
      <w:r w:rsidRPr="00EC20F8">
        <w:rPr>
          <w:rFonts w:ascii="Times New Roman" w:hAnsi="Times New Roman" w:cs="Times New Roman"/>
          <w:spacing w:val="5"/>
          <w:sz w:val="28"/>
          <w:szCs w:val="28"/>
        </w:rPr>
        <w:t xml:space="preserve"> к исполненным назначениям 2013 года и составляют 88,8 </w:t>
      </w:r>
      <w:r w:rsidR="00CE391C" w:rsidRPr="00EC20F8">
        <w:rPr>
          <w:rFonts w:ascii="Times New Roman" w:hAnsi="Times New Roman" w:cs="Times New Roman"/>
          <w:spacing w:val="5"/>
          <w:sz w:val="28"/>
          <w:szCs w:val="28"/>
        </w:rPr>
        <w:t>%</w:t>
      </w:r>
      <w:r w:rsidRPr="00EC20F8">
        <w:rPr>
          <w:rFonts w:ascii="Times New Roman" w:hAnsi="Times New Roman" w:cs="Times New Roman"/>
          <w:spacing w:val="5"/>
          <w:sz w:val="28"/>
          <w:szCs w:val="28"/>
        </w:rPr>
        <w:t xml:space="preserve">. Темп снижения налоговых доходов несколько меньше –9,4 </w:t>
      </w:r>
      <w:r w:rsidR="00CE391C" w:rsidRPr="00EC20F8">
        <w:rPr>
          <w:rFonts w:ascii="Times New Roman" w:hAnsi="Times New Roman" w:cs="Times New Roman"/>
          <w:spacing w:val="5"/>
          <w:sz w:val="28"/>
          <w:szCs w:val="28"/>
        </w:rPr>
        <w:t>%</w:t>
      </w:r>
      <w:r w:rsidRPr="00EC20F8">
        <w:rPr>
          <w:rFonts w:ascii="Times New Roman" w:hAnsi="Times New Roman" w:cs="Times New Roman"/>
          <w:spacing w:val="5"/>
          <w:sz w:val="28"/>
          <w:szCs w:val="28"/>
        </w:rPr>
        <w:t xml:space="preserve">. </w:t>
      </w:r>
    </w:p>
    <w:p w:rsidR="004871C3" w:rsidRPr="00EC20F8" w:rsidRDefault="004871C3" w:rsidP="00A25268">
      <w:pPr>
        <w:shd w:val="clear" w:color="auto" w:fill="FFFFFF"/>
        <w:ind w:firstLine="709"/>
        <w:jc w:val="both"/>
        <w:rPr>
          <w:rFonts w:ascii="Times New Roman" w:hAnsi="Times New Roman" w:cs="Times New Roman"/>
          <w:spacing w:val="5"/>
          <w:sz w:val="28"/>
          <w:szCs w:val="28"/>
        </w:rPr>
      </w:pPr>
      <w:r w:rsidRPr="00EC20F8">
        <w:rPr>
          <w:rFonts w:ascii="Times New Roman" w:hAnsi="Times New Roman" w:cs="Times New Roman"/>
          <w:spacing w:val="5"/>
          <w:sz w:val="28"/>
          <w:szCs w:val="28"/>
        </w:rPr>
        <w:t>В их составе лидирующие темпы прироста могут сложиться по налогам:</w:t>
      </w:r>
    </w:p>
    <w:p w:rsidR="004871C3" w:rsidRPr="00EC20F8" w:rsidRDefault="004871C3" w:rsidP="00A25268">
      <w:pPr>
        <w:shd w:val="clear" w:color="auto" w:fill="FFFFFF"/>
        <w:ind w:firstLine="709"/>
        <w:jc w:val="both"/>
        <w:rPr>
          <w:rFonts w:ascii="Times New Roman" w:hAnsi="Times New Roman" w:cs="Times New Roman"/>
          <w:sz w:val="28"/>
          <w:szCs w:val="28"/>
        </w:rPr>
      </w:pPr>
      <w:r w:rsidRPr="00EC20F8">
        <w:rPr>
          <w:rFonts w:ascii="Times New Roman" w:hAnsi="Times New Roman" w:cs="Times New Roman"/>
          <w:spacing w:val="5"/>
          <w:sz w:val="28"/>
          <w:szCs w:val="28"/>
        </w:rPr>
        <w:t xml:space="preserve">1) </w:t>
      </w:r>
      <w:r w:rsidRPr="00EC20F8">
        <w:rPr>
          <w:rFonts w:ascii="Times New Roman" w:hAnsi="Times New Roman" w:cs="Times New Roman"/>
          <w:b/>
          <w:spacing w:val="5"/>
          <w:sz w:val="28"/>
          <w:szCs w:val="28"/>
        </w:rPr>
        <w:t>единый сельскохозяйственный налог</w:t>
      </w:r>
      <w:r w:rsidRPr="00EC20F8">
        <w:rPr>
          <w:rFonts w:ascii="Times New Roman" w:hAnsi="Times New Roman" w:cs="Times New Roman"/>
          <w:spacing w:val="5"/>
          <w:sz w:val="28"/>
          <w:szCs w:val="28"/>
        </w:rPr>
        <w:t xml:space="preserve"> на 52 </w:t>
      </w:r>
      <w:r w:rsidR="00CE391C" w:rsidRPr="00EC20F8">
        <w:rPr>
          <w:rFonts w:ascii="Times New Roman" w:hAnsi="Times New Roman" w:cs="Times New Roman"/>
          <w:spacing w:val="5"/>
          <w:sz w:val="28"/>
          <w:szCs w:val="28"/>
        </w:rPr>
        <w:t>%</w:t>
      </w:r>
      <w:r w:rsidRPr="00EC20F8">
        <w:rPr>
          <w:rFonts w:ascii="Times New Roman" w:hAnsi="Times New Roman" w:cs="Times New Roman"/>
          <w:spacing w:val="5"/>
          <w:sz w:val="28"/>
          <w:szCs w:val="28"/>
        </w:rPr>
        <w:t xml:space="preserve">; удельный вес в общем объёме налоговых поступлений - 1,6 </w:t>
      </w:r>
      <w:r w:rsidR="00CE391C" w:rsidRPr="00EC20F8">
        <w:rPr>
          <w:rFonts w:ascii="Times New Roman" w:hAnsi="Times New Roman" w:cs="Times New Roman"/>
          <w:spacing w:val="5"/>
          <w:sz w:val="28"/>
          <w:szCs w:val="28"/>
        </w:rPr>
        <w:t>%</w:t>
      </w:r>
      <w:r w:rsidRPr="00EC20F8">
        <w:rPr>
          <w:rFonts w:ascii="Times New Roman" w:hAnsi="Times New Roman" w:cs="Times New Roman"/>
          <w:spacing w:val="5"/>
          <w:sz w:val="28"/>
          <w:szCs w:val="28"/>
        </w:rPr>
        <w:t xml:space="preserve">. </w:t>
      </w:r>
      <w:r w:rsidRPr="00EC20F8">
        <w:rPr>
          <w:rFonts w:ascii="Times New Roman" w:hAnsi="Times New Roman" w:cs="Times New Roman"/>
          <w:sz w:val="28"/>
          <w:szCs w:val="28"/>
        </w:rPr>
        <w:t>Основные причины роста дохода от уплаты единого сельскохозяйственного налога:</w:t>
      </w:r>
    </w:p>
    <w:p w:rsidR="004871C3" w:rsidRPr="00EC20F8" w:rsidRDefault="004871C3" w:rsidP="00A25268">
      <w:pPr>
        <w:shd w:val="clear" w:color="auto" w:fill="FFFFFF"/>
        <w:ind w:firstLine="709"/>
        <w:jc w:val="both"/>
        <w:rPr>
          <w:rFonts w:ascii="Times New Roman" w:hAnsi="Times New Roman" w:cs="Times New Roman"/>
          <w:sz w:val="28"/>
          <w:szCs w:val="28"/>
        </w:rPr>
      </w:pPr>
      <w:r w:rsidRPr="00EC20F8">
        <w:rPr>
          <w:rFonts w:ascii="Times New Roman" w:hAnsi="Times New Roman" w:cs="Times New Roman"/>
          <w:sz w:val="28"/>
          <w:szCs w:val="28"/>
        </w:rPr>
        <w:t>- наблюдается увеличение доходов и (или) снижение расходов у ряда налогоплательщиков (</w:t>
      </w:r>
      <w:proofErr w:type="spellStart"/>
      <w:r w:rsidRPr="00EC20F8">
        <w:rPr>
          <w:rFonts w:ascii="Times New Roman" w:hAnsi="Times New Roman" w:cs="Times New Roman"/>
          <w:sz w:val="28"/>
          <w:szCs w:val="28"/>
        </w:rPr>
        <w:t>рыбохозяйственные</w:t>
      </w:r>
      <w:proofErr w:type="spellEnd"/>
      <w:r w:rsidRPr="00EC20F8">
        <w:rPr>
          <w:rFonts w:ascii="Times New Roman" w:hAnsi="Times New Roman" w:cs="Times New Roman"/>
          <w:sz w:val="28"/>
          <w:szCs w:val="28"/>
        </w:rPr>
        <w:t xml:space="preserve"> организации), что привело к увеличению налоговой базы, и соответственно, суммы исчисленного налога к уплате. </w:t>
      </w:r>
      <w:proofErr w:type="gramStart"/>
      <w:r w:rsidRPr="00EC20F8">
        <w:rPr>
          <w:rFonts w:ascii="Times New Roman" w:hAnsi="Times New Roman" w:cs="Times New Roman"/>
          <w:sz w:val="28"/>
          <w:szCs w:val="28"/>
        </w:rPr>
        <w:t>Кроме того, выявлены налогоплательщики, относящиеся к данной отрасли, включившие суммы убытков, полученные в предыдущие отчетные периоды, уменьшающие налоговую базу за 2012 год.</w:t>
      </w:r>
      <w:proofErr w:type="gramEnd"/>
      <w:r w:rsidRPr="00EC20F8">
        <w:rPr>
          <w:rFonts w:ascii="Times New Roman" w:hAnsi="Times New Roman" w:cs="Times New Roman"/>
          <w:sz w:val="28"/>
          <w:szCs w:val="28"/>
        </w:rPr>
        <w:t xml:space="preserve"> В 2014 году суммы убытка налогоплательщиками не отражались, либо отражались в меньших объемах.</w:t>
      </w:r>
    </w:p>
    <w:p w:rsidR="004871C3" w:rsidRPr="00EC20F8" w:rsidRDefault="004871C3" w:rsidP="00A25268">
      <w:pPr>
        <w:pStyle w:val="a3"/>
        <w:shd w:val="clear" w:color="auto" w:fill="FFFFFF"/>
        <w:ind w:left="0"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Основными плательщиками по данному налогу будут налогоплательщики сферы рыболовства и рыбоводства, на которые прогнозируется 98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xml:space="preserve"> доходов от всех поступлений единого сельскохозяйственного налога.</w:t>
      </w:r>
    </w:p>
    <w:p w:rsidR="004871C3" w:rsidRPr="00EC20F8" w:rsidRDefault="004871C3" w:rsidP="00A25268">
      <w:pPr>
        <w:numPr>
          <w:ilvl w:val="0"/>
          <w:numId w:val="12"/>
        </w:numPr>
        <w:shd w:val="clear" w:color="auto" w:fill="FFFFFF"/>
        <w:ind w:left="0" w:firstLine="709"/>
        <w:jc w:val="both"/>
        <w:rPr>
          <w:rFonts w:ascii="Times New Roman" w:hAnsi="Times New Roman" w:cs="Times New Roman"/>
          <w:spacing w:val="5"/>
          <w:sz w:val="28"/>
          <w:szCs w:val="28"/>
        </w:rPr>
      </w:pPr>
      <w:r w:rsidRPr="00EC20F8">
        <w:rPr>
          <w:rFonts w:ascii="Times New Roman" w:hAnsi="Times New Roman" w:cs="Times New Roman"/>
          <w:b/>
          <w:spacing w:val="5"/>
          <w:sz w:val="28"/>
          <w:szCs w:val="28"/>
        </w:rPr>
        <w:t xml:space="preserve">налог на прибыль - на 44,2 </w:t>
      </w:r>
      <w:r w:rsidR="00CE391C" w:rsidRPr="00EC20F8">
        <w:rPr>
          <w:rFonts w:ascii="Times New Roman" w:hAnsi="Times New Roman" w:cs="Times New Roman"/>
          <w:b/>
          <w:spacing w:val="5"/>
          <w:sz w:val="28"/>
          <w:szCs w:val="28"/>
        </w:rPr>
        <w:t>%</w:t>
      </w:r>
      <w:r w:rsidRPr="00EC20F8">
        <w:rPr>
          <w:rFonts w:ascii="Times New Roman" w:hAnsi="Times New Roman" w:cs="Times New Roman"/>
          <w:b/>
          <w:spacing w:val="5"/>
          <w:sz w:val="28"/>
          <w:szCs w:val="28"/>
        </w:rPr>
        <w:t>.</w:t>
      </w:r>
      <w:r w:rsidRPr="00EC20F8">
        <w:rPr>
          <w:rFonts w:ascii="Times New Roman" w:hAnsi="Times New Roman" w:cs="Times New Roman"/>
          <w:spacing w:val="5"/>
          <w:sz w:val="28"/>
          <w:szCs w:val="28"/>
        </w:rPr>
        <w:t xml:space="preserve"> Удельный вес в налоговых поступлениях - 9,0 </w:t>
      </w:r>
      <w:r w:rsidR="00CE391C" w:rsidRPr="00EC20F8">
        <w:rPr>
          <w:rFonts w:ascii="Times New Roman" w:hAnsi="Times New Roman" w:cs="Times New Roman"/>
          <w:spacing w:val="5"/>
          <w:sz w:val="28"/>
          <w:szCs w:val="28"/>
        </w:rPr>
        <w:t>%</w:t>
      </w:r>
      <w:r w:rsidRPr="00EC20F8">
        <w:rPr>
          <w:rFonts w:ascii="Times New Roman" w:hAnsi="Times New Roman" w:cs="Times New Roman"/>
          <w:b/>
          <w:spacing w:val="5"/>
          <w:sz w:val="28"/>
          <w:szCs w:val="28"/>
        </w:rPr>
        <w:t xml:space="preserve">. </w:t>
      </w:r>
      <w:r w:rsidRPr="00EC20F8">
        <w:rPr>
          <w:rFonts w:ascii="Times New Roman" w:hAnsi="Times New Roman" w:cs="Times New Roman"/>
          <w:spacing w:val="5"/>
          <w:sz w:val="28"/>
          <w:szCs w:val="28"/>
        </w:rPr>
        <w:t>Рост поступлений по налогу на прибыль получен от финансовых операций с ценными бумагами, т.е. носит разовый характер.</w:t>
      </w:r>
    </w:p>
    <w:p w:rsidR="004871C3" w:rsidRPr="00EC20F8" w:rsidRDefault="004871C3" w:rsidP="00A25268">
      <w:pPr>
        <w:numPr>
          <w:ilvl w:val="0"/>
          <w:numId w:val="12"/>
        </w:numPr>
        <w:shd w:val="clear" w:color="auto" w:fill="FFFFFF"/>
        <w:ind w:left="0" w:firstLine="709"/>
        <w:jc w:val="both"/>
        <w:rPr>
          <w:rFonts w:ascii="Times New Roman" w:hAnsi="Times New Roman" w:cs="Times New Roman"/>
          <w:spacing w:val="5"/>
          <w:sz w:val="28"/>
          <w:szCs w:val="28"/>
        </w:rPr>
      </w:pPr>
      <w:r w:rsidRPr="00EC20F8">
        <w:rPr>
          <w:rFonts w:ascii="Times New Roman" w:hAnsi="Times New Roman" w:cs="Times New Roman"/>
          <w:spacing w:val="5"/>
          <w:sz w:val="28"/>
          <w:szCs w:val="28"/>
        </w:rPr>
        <w:t xml:space="preserve"> </w:t>
      </w:r>
      <w:r w:rsidRPr="00EC20F8">
        <w:rPr>
          <w:rFonts w:ascii="Times New Roman" w:hAnsi="Times New Roman" w:cs="Times New Roman"/>
          <w:b/>
          <w:spacing w:val="5"/>
          <w:sz w:val="28"/>
          <w:szCs w:val="28"/>
        </w:rPr>
        <w:t>налог, взимаемый в связи с применением патентной системы налогообложения</w:t>
      </w:r>
      <w:r w:rsidRPr="00EC20F8">
        <w:rPr>
          <w:rFonts w:ascii="Times New Roman" w:hAnsi="Times New Roman" w:cs="Times New Roman"/>
          <w:spacing w:val="5"/>
          <w:sz w:val="28"/>
          <w:szCs w:val="28"/>
        </w:rPr>
        <w:t xml:space="preserve"> на 37,0 </w:t>
      </w:r>
      <w:r w:rsidR="00CE391C" w:rsidRPr="00EC20F8">
        <w:rPr>
          <w:rFonts w:ascii="Times New Roman" w:hAnsi="Times New Roman" w:cs="Times New Roman"/>
          <w:spacing w:val="5"/>
          <w:sz w:val="28"/>
          <w:szCs w:val="28"/>
        </w:rPr>
        <w:t>%</w:t>
      </w:r>
      <w:r w:rsidRPr="00EC20F8">
        <w:rPr>
          <w:rFonts w:ascii="Times New Roman" w:hAnsi="Times New Roman" w:cs="Times New Roman"/>
          <w:spacing w:val="5"/>
          <w:sz w:val="28"/>
          <w:szCs w:val="28"/>
        </w:rPr>
        <w:t>, удельны</w:t>
      </w:r>
      <w:r w:rsidR="001B413D" w:rsidRPr="00EC20F8">
        <w:rPr>
          <w:rFonts w:ascii="Times New Roman" w:hAnsi="Times New Roman" w:cs="Times New Roman"/>
          <w:spacing w:val="5"/>
          <w:sz w:val="28"/>
          <w:szCs w:val="28"/>
        </w:rPr>
        <w:t xml:space="preserve">й вес в налоговых поступлениях </w:t>
      </w:r>
      <w:r w:rsidRPr="00EC20F8">
        <w:rPr>
          <w:rFonts w:ascii="Times New Roman" w:hAnsi="Times New Roman" w:cs="Times New Roman"/>
          <w:spacing w:val="5"/>
          <w:sz w:val="28"/>
          <w:szCs w:val="28"/>
        </w:rPr>
        <w:t xml:space="preserve">- 0,1 </w:t>
      </w:r>
      <w:r w:rsidR="00CE391C" w:rsidRPr="00EC20F8">
        <w:rPr>
          <w:rFonts w:ascii="Times New Roman" w:hAnsi="Times New Roman" w:cs="Times New Roman"/>
          <w:spacing w:val="5"/>
          <w:sz w:val="28"/>
          <w:szCs w:val="28"/>
        </w:rPr>
        <w:t>%</w:t>
      </w:r>
      <w:r w:rsidRPr="00EC20F8">
        <w:rPr>
          <w:rFonts w:ascii="Times New Roman" w:hAnsi="Times New Roman" w:cs="Times New Roman"/>
          <w:spacing w:val="5"/>
          <w:sz w:val="28"/>
          <w:szCs w:val="28"/>
        </w:rPr>
        <w:t>.</w:t>
      </w:r>
      <w:r w:rsidRPr="00EC20F8">
        <w:rPr>
          <w:rFonts w:ascii="Times New Roman" w:hAnsi="Times New Roman" w:cs="Times New Roman"/>
          <w:spacing w:val="-1"/>
          <w:sz w:val="28"/>
          <w:szCs w:val="28"/>
        </w:rPr>
        <w:t xml:space="preserve"> Увеличение суммы налога, подлежащей уплате в бюджет городского округа за налоговый период, </w:t>
      </w:r>
      <w:r w:rsidRPr="00EC20F8">
        <w:rPr>
          <w:rFonts w:ascii="Times New Roman" w:hAnsi="Times New Roman" w:cs="Times New Roman"/>
          <w:spacing w:val="2"/>
          <w:sz w:val="28"/>
          <w:szCs w:val="28"/>
        </w:rPr>
        <w:t xml:space="preserve">связан с                                                                                                                     </w:t>
      </w:r>
      <w:r w:rsidRPr="00EC20F8">
        <w:rPr>
          <w:rFonts w:ascii="Times New Roman" w:hAnsi="Times New Roman" w:cs="Times New Roman"/>
          <w:sz w:val="28"/>
          <w:szCs w:val="28"/>
        </w:rPr>
        <w:t>ежегодным увеличением количественного состава плательщиков данного налога.</w:t>
      </w:r>
    </w:p>
    <w:p w:rsidR="004871C3" w:rsidRPr="00EC20F8" w:rsidRDefault="004871C3" w:rsidP="00A25268">
      <w:pPr>
        <w:numPr>
          <w:ilvl w:val="0"/>
          <w:numId w:val="12"/>
        </w:numPr>
        <w:ind w:left="0" w:firstLine="709"/>
        <w:jc w:val="both"/>
        <w:rPr>
          <w:rFonts w:ascii="Times New Roman" w:hAnsi="Times New Roman" w:cs="Times New Roman"/>
          <w:spacing w:val="5"/>
          <w:sz w:val="28"/>
          <w:szCs w:val="28"/>
        </w:rPr>
      </w:pPr>
      <w:r w:rsidRPr="00EC20F8">
        <w:rPr>
          <w:rFonts w:ascii="Times New Roman" w:hAnsi="Times New Roman" w:cs="Times New Roman"/>
          <w:b/>
          <w:sz w:val="28"/>
          <w:szCs w:val="28"/>
        </w:rPr>
        <w:t xml:space="preserve">налог на имущество физических лиц </w:t>
      </w:r>
      <w:r w:rsidRPr="00EC20F8">
        <w:rPr>
          <w:rFonts w:ascii="Times New Roman" w:hAnsi="Times New Roman" w:cs="Times New Roman"/>
          <w:spacing w:val="5"/>
          <w:sz w:val="28"/>
          <w:szCs w:val="28"/>
        </w:rPr>
        <w:t>– на 23,7</w:t>
      </w:r>
      <w:r w:rsidR="00CE391C" w:rsidRPr="00EC20F8">
        <w:rPr>
          <w:rFonts w:ascii="Times New Roman" w:hAnsi="Times New Roman" w:cs="Times New Roman"/>
          <w:spacing w:val="5"/>
          <w:sz w:val="28"/>
          <w:szCs w:val="28"/>
        </w:rPr>
        <w:t xml:space="preserve"> %</w:t>
      </w:r>
      <w:r w:rsidRPr="00EC20F8">
        <w:rPr>
          <w:rFonts w:ascii="Times New Roman" w:hAnsi="Times New Roman" w:cs="Times New Roman"/>
          <w:spacing w:val="5"/>
          <w:sz w:val="28"/>
          <w:szCs w:val="28"/>
        </w:rPr>
        <w:t xml:space="preserve">. Удельный вес в налоговых поступлениях - 1 </w:t>
      </w:r>
      <w:r w:rsidR="00CE391C" w:rsidRPr="00EC20F8">
        <w:rPr>
          <w:rFonts w:ascii="Times New Roman" w:hAnsi="Times New Roman" w:cs="Times New Roman"/>
          <w:spacing w:val="5"/>
          <w:sz w:val="28"/>
          <w:szCs w:val="28"/>
        </w:rPr>
        <w:t>%</w:t>
      </w:r>
      <w:r w:rsidRPr="00EC20F8">
        <w:rPr>
          <w:rFonts w:ascii="Times New Roman" w:hAnsi="Times New Roman" w:cs="Times New Roman"/>
          <w:spacing w:val="5"/>
          <w:sz w:val="28"/>
          <w:szCs w:val="28"/>
        </w:rPr>
        <w:t>;</w:t>
      </w:r>
    </w:p>
    <w:p w:rsidR="004871C3" w:rsidRPr="00EC20F8" w:rsidRDefault="004871C3" w:rsidP="00A25268">
      <w:pPr>
        <w:pStyle w:val="a3"/>
        <w:numPr>
          <w:ilvl w:val="0"/>
          <w:numId w:val="12"/>
        </w:numPr>
        <w:shd w:val="clear" w:color="auto" w:fill="FFFFFF"/>
        <w:ind w:left="0" w:firstLine="709"/>
        <w:jc w:val="both"/>
        <w:rPr>
          <w:rFonts w:ascii="Times New Roman" w:hAnsi="Times New Roman" w:cs="Times New Roman"/>
          <w:sz w:val="28"/>
          <w:szCs w:val="28"/>
        </w:rPr>
      </w:pPr>
      <w:r w:rsidRPr="00EC20F8">
        <w:rPr>
          <w:rFonts w:ascii="Times New Roman" w:hAnsi="Times New Roman" w:cs="Times New Roman"/>
          <w:b/>
          <w:spacing w:val="5"/>
          <w:sz w:val="28"/>
          <w:szCs w:val="28"/>
        </w:rPr>
        <w:t>земельный налог</w:t>
      </w:r>
      <w:r w:rsidRPr="00EC20F8">
        <w:rPr>
          <w:rFonts w:ascii="Times New Roman" w:hAnsi="Times New Roman" w:cs="Times New Roman"/>
          <w:spacing w:val="5"/>
          <w:sz w:val="28"/>
          <w:szCs w:val="28"/>
        </w:rPr>
        <w:t xml:space="preserve"> – на 21,2 </w:t>
      </w:r>
      <w:r w:rsidR="00FA7827" w:rsidRPr="00EC20F8">
        <w:rPr>
          <w:rFonts w:ascii="Times New Roman" w:hAnsi="Times New Roman" w:cs="Times New Roman"/>
          <w:spacing w:val="5"/>
          <w:sz w:val="28"/>
          <w:szCs w:val="28"/>
        </w:rPr>
        <w:t>%</w:t>
      </w:r>
      <w:r w:rsidRPr="00EC20F8">
        <w:rPr>
          <w:rFonts w:ascii="Times New Roman" w:hAnsi="Times New Roman" w:cs="Times New Roman"/>
          <w:spacing w:val="5"/>
          <w:sz w:val="28"/>
          <w:szCs w:val="28"/>
        </w:rPr>
        <w:t>; удельны</w:t>
      </w:r>
      <w:r w:rsidR="001B413D" w:rsidRPr="00EC20F8">
        <w:rPr>
          <w:rFonts w:ascii="Times New Roman" w:hAnsi="Times New Roman" w:cs="Times New Roman"/>
          <w:spacing w:val="5"/>
          <w:sz w:val="28"/>
          <w:szCs w:val="28"/>
        </w:rPr>
        <w:t xml:space="preserve">й вес в налоговых поступлениях </w:t>
      </w:r>
      <w:r w:rsidRPr="00EC20F8">
        <w:rPr>
          <w:rFonts w:ascii="Times New Roman" w:hAnsi="Times New Roman" w:cs="Times New Roman"/>
          <w:spacing w:val="5"/>
          <w:sz w:val="28"/>
          <w:szCs w:val="28"/>
        </w:rPr>
        <w:t xml:space="preserve">- 5,3 </w:t>
      </w:r>
      <w:r w:rsidR="00CE391C" w:rsidRPr="00EC20F8">
        <w:rPr>
          <w:rFonts w:ascii="Times New Roman" w:hAnsi="Times New Roman" w:cs="Times New Roman"/>
          <w:spacing w:val="5"/>
          <w:sz w:val="28"/>
          <w:szCs w:val="28"/>
        </w:rPr>
        <w:t>%</w:t>
      </w:r>
      <w:r w:rsidRPr="00EC20F8">
        <w:rPr>
          <w:rFonts w:ascii="Times New Roman" w:hAnsi="Times New Roman" w:cs="Times New Roman"/>
          <w:spacing w:val="5"/>
          <w:sz w:val="28"/>
          <w:szCs w:val="28"/>
        </w:rPr>
        <w:t>.</w:t>
      </w:r>
      <w:r w:rsidRPr="00EC20F8">
        <w:rPr>
          <w:rFonts w:ascii="Times New Roman" w:hAnsi="Times New Roman" w:cs="Times New Roman"/>
          <w:sz w:val="28"/>
          <w:szCs w:val="28"/>
        </w:rPr>
        <w:t xml:space="preserve"> Значительный рост дохода от уплаты земельного налога связан:</w:t>
      </w:r>
    </w:p>
    <w:p w:rsidR="004871C3" w:rsidRPr="00EC20F8" w:rsidRDefault="004871C3" w:rsidP="00A25268">
      <w:pPr>
        <w:pStyle w:val="a3"/>
        <w:shd w:val="clear" w:color="auto" w:fill="FFFFFF"/>
        <w:ind w:left="0" w:firstLine="709"/>
        <w:jc w:val="both"/>
        <w:rPr>
          <w:rFonts w:ascii="Times New Roman" w:hAnsi="Times New Roman" w:cs="Times New Roman"/>
          <w:sz w:val="28"/>
          <w:szCs w:val="28"/>
        </w:rPr>
      </w:pPr>
      <w:r w:rsidRPr="00EC20F8">
        <w:rPr>
          <w:rFonts w:ascii="Times New Roman" w:hAnsi="Times New Roman" w:cs="Times New Roman"/>
          <w:sz w:val="28"/>
          <w:szCs w:val="28"/>
        </w:rPr>
        <w:t>- с увеличением кадастровой стоимости земельных участков и увеличением количества месяцев владения;</w:t>
      </w:r>
    </w:p>
    <w:p w:rsidR="004871C3" w:rsidRPr="00EC20F8" w:rsidRDefault="004871C3" w:rsidP="00A25268">
      <w:pPr>
        <w:pStyle w:val="a3"/>
        <w:shd w:val="clear" w:color="auto" w:fill="FFFFFF"/>
        <w:ind w:left="0" w:firstLine="709"/>
        <w:jc w:val="both"/>
        <w:rPr>
          <w:rFonts w:ascii="Times New Roman" w:hAnsi="Times New Roman" w:cs="Times New Roman"/>
          <w:sz w:val="28"/>
          <w:szCs w:val="28"/>
        </w:rPr>
      </w:pPr>
      <w:r w:rsidRPr="00EC20F8">
        <w:rPr>
          <w:rFonts w:ascii="Times New Roman" w:hAnsi="Times New Roman" w:cs="Times New Roman"/>
          <w:sz w:val="28"/>
          <w:szCs w:val="28"/>
        </w:rPr>
        <w:t>- с отменой налоговых льгот по уплате земельного налога (Федеральный закон № 202-ФЗ от 29.11.2012 года);</w:t>
      </w:r>
    </w:p>
    <w:p w:rsidR="004871C3" w:rsidRPr="00EC20F8" w:rsidRDefault="004871C3" w:rsidP="00A25268">
      <w:pPr>
        <w:pStyle w:val="a3"/>
        <w:shd w:val="clear" w:color="auto" w:fill="FFFFFF"/>
        <w:ind w:left="0" w:firstLine="709"/>
        <w:jc w:val="both"/>
        <w:rPr>
          <w:rFonts w:ascii="Times New Roman" w:hAnsi="Times New Roman" w:cs="Times New Roman"/>
          <w:sz w:val="28"/>
          <w:szCs w:val="28"/>
        </w:rPr>
      </w:pPr>
      <w:r w:rsidRPr="00EC20F8">
        <w:rPr>
          <w:rFonts w:ascii="Times New Roman" w:hAnsi="Times New Roman" w:cs="Times New Roman"/>
          <w:sz w:val="28"/>
          <w:szCs w:val="28"/>
        </w:rPr>
        <w:t>- с постановкой на учет новых объектов.</w:t>
      </w:r>
    </w:p>
    <w:p w:rsidR="004871C3" w:rsidRPr="00EC20F8" w:rsidRDefault="004871C3" w:rsidP="00A25268">
      <w:pPr>
        <w:pStyle w:val="a3"/>
        <w:shd w:val="clear" w:color="auto" w:fill="FFFFFF"/>
        <w:ind w:left="0"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Основными плательщиками по данному налогу в 2014 году являются налогоплательщики в сфере образования, которые обеспечивают                              20,0 </w:t>
      </w:r>
      <w:r w:rsidR="00E97AE5" w:rsidRPr="00EC20F8">
        <w:rPr>
          <w:rFonts w:ascii="Times New Roman" w:hAnsi="Times New Roman" w:cs="Times New Roman"/>
          <w:sz w:val="28"/>
          <w:szCs w:val="28"/>
        </w:rPr>
        <w:t>%</w:t>
      </w:r>
      <w:r w:rsidRPr="00EC20F8">
        <w:rPr>
          <w:rFonts w:ascii="Times New Roman" w:hAnsi="Times New Roman" w:cs="Times New Roman"/>
          <w:sz w:val="28"/>
          <w:szCs w:val="28"/>
        </w:rPr>
        <w:t xml:space="preserve"> доходов от общего объема поступлений земельного налога.   </w:t>
      </w:r>
    </w:p>
    <w:p w:rsidR="004871C3" w:rsidRPr="00EC20F8" w:rsidRDefault="004871C3" w:rsidP="00A25268">
      <w:pPr>
        <w:numPr>
          <w:ilvl w:val="0"/>
          <w:numId w:val="12"/>
        </w:numPr>
        <w:shd w:val="clear" w:color="auto" w:fill="FFFFFF"/>
        <w:ind w:left="0" w:right="43" w:firstLine="709"/>
        <w:jc w:val="both"/>
        <w:rPr>
          <w:rFonts w:ascii="Times New Roman" w:hAnsi="Times New Roman" w:cs="Times New Roman"/>
          <w:spacing w:val="2"/>
          <w:sz w:val="28"/>
          <w:szCs w:val="28"/>
        </w:rPr>
      </w:pPr>
      <w:r w:rsidRPr="00EC20F8">
        <w:rPr>
          <w:rFonts w:ascii="Times New Roman" w:hAnsi="Times New Roman" w:cs="Times New Roman"/>
          <w:b/>
          <w:spacing w:val="5"/>
          <w:sz w:val="28"/>
          <w:szCs w:val="28"/>
        </w:rPr>
        <w:t>е</w:t>
      </w:r>
      <w:r w:rsidRPr="00EC20F8">
        <w:rPr>
          <w:rFonts w:ascii="Times New Roman" w:hAnsi="Times New Roman" w:cs="Times New Roman"/>
          <w:b/>
          <w:bCs/>
          <w:spacing w:val="8"/>
          <w:sz w:val="28"/>
          <w:szCs w:val="28"/>
        </w:rPr>
        <w:t xml:space="preserve">диный налог, </w:t>
      </w:r>
      <w:r w:rsidRPr="00EC20F8">
        <w:rPr>
          <w:rFonts w:ascii="Times New Roman" w:hAnsi="Times New Roman" w:cs="Times New Roman"/>
          <w:b/>
          <w:spacing w:val="8"/>
          <w:sz w:val="28"/>
          <w:szCs w:val="28"/>
        </w:rPr>
        <w:t>взимаемый в связи с применением упрощенной системы</w:t>
      </w:r>
      <w:r w:rsidRPr="00EC20F8">
        <w:rPr>
          <w:rFonts w:ascii="Times New Roman" w:hAnsi="Times New Roman" w:cs="Times New Roman"/>
          <w:b/>
          <w:spacing w:val="7"/>
          <w:sz w:val="28"/>
          <w:szCs w:val="28"/>
        </w:rPr>
        <w:t xml:space="preserve"> налогообложения </w:t>
      </w:r>
      <w:r w:rsidRPr="00EC20F8">
        <w:rPr>
          <w:rFonts w:ascii="Times New Roman" w:hAnsi="Times New Roman" w:cs="Times New Roman"/>
          <w:spacing w:val="5"/>
          <w:sz w:val="28"/>
          <w:szCs w:val="28"/>
        </w:rPr>
        <w:t xml:space="preserve">- на 7,8 </w:t>
      </w:r>
      <w:r w:rsidR="00CE391C" w:rsidRPr="00EC20F8">
        <w:rPr>
          <w:rFonts w:ascii="Times New Roman" w:hAnsi="Times New Roman" w:cs="Times New Roman"/>
          <w:spacing w:val="5"/>
          <w:sz w:val="28"/>
          <w:szCs w:val="28"/>
        </w:rPr>
        <w:t>%</w:t>
      </w:r>
      <w:r w:rsidRPr="00EC20F8">
        <w:rPr>
          <w:rFonts w:ascii="Times New Roman" w:hAnsi="Times New Roman" w:cs="Times New Roman"/>
          <w:spacing w:val="5"/>
          <w:sz w:val="28"/>
          <w:szCs w:val="28"/>
        </w:rPr>
        <w:t xml:space="preserve">. Удельный вес в налоговых поступлениях - 4,2 </w:t>
      </w:r>
      <w:r w:rsidR="00CE391C" w:rsidRPr="00EC20F8">
        <w:rPr>
          <w:rFonts w:ascii="Times New Roman" w:hAnsi="Times New Roman" w:cs="Times New Roman"/>
          <w:spacing w:val="5"/>
          <w:sz w:val="28"/>
          <w:szCs w:val="28"/>
        </w:rPr>
        <w:t>%</w:t>
      </w:r>
      <w:r w:rsidRPr="00EC20F8">
        <w:rPr>
          <w:rFonts w:ascii="Times New Roman" w:hAnsi="Times New Roman" w:cs="Times New Roman"/>
          <w:spacing w:val="5"/>
          <w:sz w:val="28"/>
          <w:szCs w:val="28"/>
        </w:rPr>
        <w:t>.</w:t>
      </w:r>
      <w:r w:rsidRPr="00EC20F8">
        <w:rPr>
          <w:rFonts w:ascii="Times New Roman" w:hAnsi="Times New Roman" w:cs="Times New Roman"/>
          <w:spacing w:val="-1"/>
          <w:sz w:val="28"/>
          <w:szCs w:val="28"/>
        </w:rPr>
        <w:t xml:space="preserve"> Увеличение суммы налога, подлежащей уплате в бюджет городского округа за налоговый период, </w:t>
      </w:r>
      <w:r w:rsidRPr="00EC20F8">
        <w:rPr>
          <w:rFonts w:ascii="Times New Roman" w:hAnsi="Times New Roman" w:cs="Times New Roman"/>
          <w:spacing w:val="2"/>
          <w:sz w:val="28"/>
          <w:szCs w:val="28"/>
        </w:rPr>
        <w:t xml:space="preserve">напрямую зависит от </w:t>
      </w:r>
      <w:r w:rsidRPr="00EC20F8">
        <w:rPr>
          <w:rFonts w:ascii="Times New Roman" w:hAnsi="Times New Roman" w:cs="Times New Roman"/>
          <w:sz w:val="28"/>
          <w:szCs w:val="28"/>
        </w:rPr>
        <w:t xml:space="preserve">ежегодного увеличения количественного состава </w:t>
      </w:r>
      <w:r w:rsidRPr="00EC20F8">
        <w:rPr>
          <w:rFonts w:ascii="Times New Roman" w:hAnsi="Times New Roman" w:cs="Times New Roman"/>
          <w:spacing w:val="2"/>
          <w:sz w:val="28"/>
          <w:szCs w:val="28"/>
        </w:rPr>
        <w:t xml:space="preserve">плательщиков данного налога. </w:t>
      </w:r>
    </w:p>
    <w:p w:rsidR="004871C3" w:rsidRPr="00EC20F8" w:rsidRDefault="004871C3" w:rsidP="00A25268">
      <w:pPr>
        <w:pStyle w:val="a3"/>
        <w:shd w:val="clear" w:color="auto" w:fill="FFFFFF"/>
        <w:ind w:left="0" w:firstLine="709"/>
        <w:jc w:val="both"/>
        <w:rPr>
          <w:rFonts w:ascii="Times New Roman" w:hAnsi="Times New Roman" w:cs="Times New Roman"/>
          <w:spacing w:val="2"/>
          <w:sz w:val="28"/>
          <w:szCs w:val="28"/>
        </w:rPr>
      </w:pPr>
      <w:proofErr w:type="gramStart"/>
      <w:r w:rsidRPr="00EC20F8">
        <w:rPr>
          <w:rFonts w:ascii="Times New Roman" w:hAnsi="Times New Roman" w:cs="Times New Roman"/>
          <w:spacing w:val="2"/>
          <w:sz w:val="28"/>
          <w:szCs w:val="28"/>
        </w:rPr>
        <w:t xml:space="preserve">Основными плательщиками налога в 2014 году являются организации, оптовой и розничной торговли, осуществляющие ремонт автотранспортных средств, мотоциклов, бытовых изделий и предметов личного пользования которые обеспечивают 22,0 </w:t>
      </w:r>
      <w:r w:rsidR="00CE391C" w:rsidRPr="00EC20F8">
        <w:rPr>
          <w:rFonts w:ascii="Times New Roman" w:hAnsi="Times New Roman" w:cs="Times New Roman"/>
          <w:spacing w:val="2"/>
          <w:sz w:val="28"/>
          <w:szCs w:val="28"/>
        </w:rPr>
        <w:t>%</w:t>
      </w:r>
      <w:r w:rsidRPr="00EC20F8">
        <w:rPr>
          <w:rFonts w:ascii="Times New Roman" w:hAnsi="Times New Roman" w:cs="Times New Roman"/>
          <w:spacing w:val="2"/>
          <w:sz w:val="28"/>
          <w:szCs w:val="28"/>
        </w:rPr>
        <w:t xml:space="preserve"> доходов от всех поступлений налога, взимаемого в связи с применением упрощенной системы налогообложения.</w:t>
      </w:r>
      <w:proofErr w:type="gramEnd"/>
    </w:p>
    <w:p w:rsidR="004871C3" w:rsidRPr="00EC20F8" w:rsidRDefault="004871C3" w:rsidP="00A25268">
      <w:pPr>
        <w:numPr>
          <w:ilvl w:val="0"/>
          <w:numId w:val="12"/>
        </w:numPr>
        <w:shd w:val="clear" w:color="auto" w:fill="FFFFFF"/>
        <w:ind w:left="0" w:firstLine="709"/>
        <w:jc w:val="both"/>
        <w:rPr>
          <w:rFonts w:ascii="Times New Roman" w:hAnsi="Times New Roman" w:cs="Times New Roman"/>
          <w:spacing w:val="-1"/>
          <w:sz w:val="28"/>
          <w:szCs w:val="28"/>
        </w:rPr>
      </w:pPr>
      <w:proofErr w:type="gramStart"/>
      <w:r w:rsidRPr="00EC20F8">
        <w:rPr>
          <w:rFonts w:ascii="Times New Roman" w:hAnsi="Times New Roman" w:cs="Times New Roman"/>
          <w:b/>
          <w:spacing w:val="5"/>
          <w:sz w:val="28"/>
          <w:szCs w:val="28"/>
        </w:rPr>
        <w:t xml:space="preserve">единый налог на вменённый доход на </w:t>
      </w:r>
      <w:r w:rsidRPr="00EC20F8">
        <w:rPr>
          <w:rFonts w:ascii="Times New Roman" w:hAnsi="Times New Roman" w:cs="Times New Roman"/>
          <w:spacing w:val="5"/>
          <w:sz w:val="28"/>
          <w:szCs w:val="28"/>
        </w:rPr>
        <w:t xml:space="preserve">1 </w:t>
      </w:r>
      <w:r w:rsidR="00CE391C" w:rsidRPr="00EC20F8">
        <w:rPr>
          <w:rFonts w:ascii="Times New Roman" w:hAnsi="Times New Roman" w:cs="Times New Roman"/>
          <w:spacing w:val="5"/>
          <w:sz w:val="28"/>
          <w:szCs w:val="28"/>
        </w:rPr>
        <w:t>%</w:t>
      </w:r>
      <w:r w:rsidRPr="00EC20F8">
        <w:rPr>
          <w:rFonts w:ascii="Times New Roman" w:hAnsi="Times New Roman" w:cs="Times New Roman"/>
          <w:spacing w:val="5"/>
          <w:sz w:val="28"/>
          <w:szCs w:val="28"/>
        </w:rPr>
        <w:t>; удельн</w:t>
      </w:r>
      <w:r w:rsidR="001B413D" w:rsidRPr="00EC20F8">
        <w:rPr>
          <w:rFonts w:ascii="Times New Roman" w:hAnsi="Times New Roman" w:cs="Times New Roman"/>
          <w:spacing w:val="5"/>
          <w:sz w:val="28"/>
          <w:szCs w:val="28"/>
        </w:rPr>
        <w:t>ый вес в налоговых поступлениях</w:t>
      </w:r>
      <w:r w:rsidRPr="00EC20F8">
        <w:rPr>
          <w:rFonts w:ascii="Times New Roman" w:hAnsi="Times New Roman" w:cs="Times New Roman"/>
          <w:spacing w:val="5"/>
          <w:sz w:val="28"/>
          <w:szCs w:val="28"/>
        </w:rPr>
        <w:t xml:space="preserve"> - 9,1 </w:t>
      </w:r>
      <w:r w:rsidR="00CE391C" w:rsidRPr="00EC20F8">
        <w:rPr>
          <w:rFonts w:ascii="Times New Roman" w:hAnsi="Times New Roman" w:cs="Times New Roman"/>
          <w:spacing w:val="5"/>
          <w:sz w:val="28"/>
          <w:szCs w:val="28"/>
        </w:rPr>
        <w:t>%</w:t>
      </w:r>
      <w:r w:rsidRPr="00EC20F8">
        <w:rPr>
          <w:rFonts w:ascii="Times New Roman" w:hAnsi="Times New Roman" w:cs="Times New Roman"/>
          <w:spacing w:val="5"/>
          <w:sz w:val="28"/>
          <w:szCs w:val="28"/>
        </w:rPr>
        <w:t>. При этом н</w:t>
      </w:r>
      <w:r w:rsidRPr="00EC20F8">
        <w:rPr>
          <w:rFonts w:ascii="Times New Roman" w:hAnsi="Times New Roman" w:cs="Times New Roman"/>
          <w:sz w:val="28"/>
          <w:szCs w:val="28"/>
        </w:rPr>
        <w:t xml:space="preserve">егативное влияние на объем налоговых поступлений в 2014 оказывает </w:t>
      </w:r>
      <w:r w:rsidRPr="00EC20F8">
        <w:rPr>
          <w:rFonts w:ascii="Times New Roman" w:hAnsi="Times New Roman" w:cs="Times New Roman"/>
          <w:spacing w:val="-1"/>
          <w:sz w:val="28"/>
          <w:szCs w:val="28"/>
        </w:rPr>
        <w:t xml:space="preserve">внесение с 01.01.2013 изменений в налоговое законодательство, повлекших за собой снижение количества налогоплательщиков, использующих право выбора системы налогообложения (смена режима налогообложения с ЕНВД на УСН). </w:t>
      </w:r>
      <w:proofErr w:type="gramEnd"/>
    </w:p>
    <w:p w:rsidR="004871C3" w:rsidRPr="00EC20F8" w:rsidRDefault="004871C3" w:rsidP="00A25268">
      <w:pPr>
        <w:pStyle w:val="a3"/>
        <w:shd w:val="clear" w:color="auto" w:fill="FFFFFF"/>
        <w:ind w:left="0" w:firstLine="709"/>
        <w:jc w:val="both"/>
        <w:rPr>
          <w:rFonts w:ascii="Times New Roman" w:hAnsi="Times New Roman" w:cs="Times New Roman"/>
          <w:spacing w:val="-1"/>
          <w:sz w:val="28"/>
          <w:szCs w:val="28"/>
        </w:rPr>
      </w:pPr>
      <w:proofErr w:type="gramStart"/>
      <w:r w:rsidRPr="00EC20F8">
        <w:rPr>
          <w:rFonts w:ascii="Times New Roman" w:hAnsi="Times New Roman" w:cs="Times New Roman"/>
          <w:spacing w:val="-1"/>
          <w:sz w:val="28"/>
          <w:szCs w:val="28"/>
        </w:rPr>
        <w:t xml:space="preserve">Основными плательщиками в 2014 году по данному виду налога являются организации, оптовой и розничной торговли, осуществляющие ремонт автотранспортных средств, мотоциклов, бытовых изделий и предметов личного пользования, на которые прогнозируется 66,0 </w:t>
      </w:r>
      <w:r w:rsidR="00CE391C" w:rsidRPr="00EC20F8">
        <w:rPr>
          <w:rFonts w:ascii="Times New Roman" w:hAnsi="Times New Roman" w:cs="Times New Roman"/>
          <w:spacing w:val="-1"/>
          <w:sz w:val="28"/>
          <w:szCs w:val="28"/>
        </w:rPr>
        <w:t>%</w:t>
      </w:r>
      <w:r w:rsidRPr="00EC20F8">
        <w:rPr>
          <w:rFonts w:ascii="Times New Roman" w:hAnsi="Times New Roman" w:cs="Times New Roman"/>
          <w:spacing w:val="-1"/>
          <w:sz w:val="28"/>
          <w:szCs w:val="28"/>
        </w:rPr>
        <w:t xml:space="preserve"> доходов от общего объема поступлений единого налога на вмененный доход для отдельных видов деятельности. </w:t>
      </w:r>
      <w:proofErr w:type="gramEnd"/>
    </w:p>
    <w:p w:rsidR="004871C3" w:rsidRPr="00EC20F8" w:rsidRDefault="004871C3" w:rsidP="00A25268">
      <w:pPr>
        <w:shd w:val="clear" w:color="auto" w:fill="FFFFFF"/>
        <w:ind w:firstLine="709"/>
        <w:jc w:val="both"/>
        <w:rPr>
          <w:rFonts w:ascii="Times New Roman" w:hAnsi="Times New Roman" w:cs="Times New Roman"/>
          <w:spacing w:val="5"/>
          <w:sz w:val="28"/>
          <w:szCs w:val="28"/>
          <w:highlight w:val="yellow"/>
        </w:rPr>
      </w:pPr>
      <w:r w:rsidRPr="00EC20F8">
        <w:rPr>
          <w:rFonts w:ascii="Times New Roman" w:hAnsi="Times New Roman" w:cs="Times New Roman"/>
          <w:spacing w:val="5"/>
          <w:sz w:val="28"/>
          <w:szCs w:val="28"/>
        </w:rPr>
        <w:t>Снижение темпа роста в 2014 году прогнозируется по налогу</w:t>
      </w:r>
      <w:r w:rsidRPr="00EC20F8">
        <w:rPr>
          <w:rFonts w:ascii="Times New Roman" w:hAnsi="Times New Roman" w:cs="Times New Roman"/>
          <w:b/>
          <w:spacing w:val="5"/>
          <w:sz w:val="28"/>
          <w:szCs w:val="28"/>
        </w:rPr>
        <w:t xml:space="preserve"> на доходы физических лиц на 18,9 </w:t>
      </w:r>
      <w:r w:rsidR="00CE391C" w:rsidRPr="00EC20F8">
        <w:rPr>
          <w:rFonts w:ascii="Times New Roman" w:hAnsi="Times New Roman" w:cs="Times New Roman"/>
          <w:b/>
          <w:spacing w:val="5"/>
          <w:sz w:val="28"/>
          <w:szCs w:val="28"/>
        </w:rPr>
        <w:t>%</w:t>
      </w:r>
      <w:r w:rsidRPr="00EC20F8">
        <w:rPr>
          <w:rFonts w:ascii="Times New Roman" w:hAnsi="Times New Roman" w:cs="Times New Roman"/>
          <w:b/>
          <w:spacing w:val="5"/>
          <w:sz w:val="28"/>
          <w:szCs w:val="28"/>
        </w:rPr>
        <w:t>,</w:t>
      </w:r>
      <w:r w:rsidRPr="00EC20F8">
        <w:rPr>
          <w:rFonts w:ascii="Times New Roman" w:hAnsi="Times New Roman" w:cs="Times New Roman"/>
          <w:spacing w:val="5"/>
          <w:sz w:val="28"/>
          <w:szCs w:val="28"/>
        </w:rPr>
        <w:t xml:space="preserve"> удельный вес в налоговых поступлениях 68,0 </w:t>
      </w:r>
      <w:r w:rsidR="00CE391C" w:rsidRPr="00EC20F8">
        <w:rPr>
          <w:rFonts w:ascii="Times New Roman" w:hAnsi="Times New Roman" w:cs="Times New Roman"/>
          <w:spacing w:val="5"/>
          <w:sz w:val="28"/>
          <w:szCs w:val="28"/>
        </w:rPr>
        <w:t>%</w:t>
      </w:r>
      <w:r w:rsidRPr="00EC20F8">
        <w:rPr>
          <w:rFonts w:ascii="Times New Roman" w:hAnsi="Times New Roman" w:cs="Times New Roman"/>
          <w:b/>
          <w:spacing w:val="5"/>
          <w:sz w:val="28"/>
          <w:szCs w:val="28"/>
        </w:rPr>
        <w:t>.</w:t>
      </w:r>
    </w:p>
    <w:p w:rsidR="004871C3" w:rsidRPr="00EC20F8" w:rsidRDefault="004871C3" w:rsidP="00A25268">
      <w:pPr>
        <w:shd w:val="clear" w:color="auto" w:fill="FFFFFF"/>
        <w:tabs>
          <w:tab w:val="left" w:pos="6840"/>
        </w:tabs>
        <w:ind w:firstLine="709"/>
        <w:jc w:val="both"/>
        <w:rPr>
          <w:rFonts w:ascii="Times New Roman" w:hAnsi="Times New Roman" w:cs="Times New Roman"/>
          <w:spacing w:val="5"/>
          <w:sz w:val="28"/>
          <w:szCs w:val="28"/>
        </w:rPr>
      </w:pPr>
      <w:r w:rsidRPr="00EC20F8">
        <w:rPr>
          <w:rFonts w:ascii="Times New Roman" w:hAnsi="Times New Roman" w:cs="Times New Roman"/>
          <w:spacing w:val="5"/>
          <w:sz w:val="28"/>
          <w:szCs w:val="28"/>
        </w:rPr>
        <w:t xml:space="preserve">Основными плательщиками налога на доходы физических лиц              в 2014 году будут по-прежнему являться налогоплательщики, работающие в отрасли государственного управления и обеспечения военной безопасности, на которые прогнозируется до 35,0 </w:t>
      </w:r>
      <w:r w:rsidR="00CE391C" w:rsidRPr="00EC20F8">
        <w:rPr>
          <w:rFonts w:ascii="Times New Roman" w:hAnsi="Times New Roman" w:cs="Times New Roman"/>
          <w:spacing w:val="5"/>
          <w:sz w:val="28"/>
          <w:szCs w:val="28"/>
        </w:rPr>
        <w:t>%</w:t>
      </w:r>
      <w:r w:rsidRPr="00EC20F8">
        <w:rPr>
          <w:rFonts w:ascii="Times New Roman" w:hAnsi="Times New Roman" w:cs="Times New Roman"/>
          <w:spacing w:val="5"/>
          <w:sz w:val="28"/>
          <w:szCs w:val="28"/>
        </w:rPr>
        <w:t xml:space="preserve"> доходов от общего объема поступлений налога на доходы физических лиц.   </w:t>
      </w:r>
    </w:p>
    <w:p w:rsidR="004871C3" w:rsidRPr="00EC20F8" w:rsidRDefault="004871C3" w:rsidP="00A25268">
      <w:pPr>
        <w:shd w:val="clear" w:color="auto" w:fill="FFFFFF"/>
        <w:ind w:firstLine="709"/>
        <w:jc w:val="both"/>
        <w:rPr>
          <w:rFonts w:ascii="Times New Roman" w:hAnsi="Times New Roman" w:cs="Times New Roman"/>
          <w:sz w:val="28"/>
          <w:szCs w:val="28"/>
        </w:rPr>
      </w:pPr>
      <w:r w:rsidRPr="00EC20F8">
        <w:rPr>
          <w:rFonts w:ascii="Times New Roman" w:hAnsi="Times New Roman" w:cs="Times New Roman"/>
          <w:spacing w:val="5"/>
          <w:sz w:val="28"/>
          <w:szCs w:val="28"/>
        </w:rPr>
        <w:t xml:space="preserve">Неналоговые доходы, традиционно не играющие какой-либо значительной роли в формировании бюджетных ресурсов, сохранят свою долю в 3,5 </w:t>
      </w:r>
      <w:r w:rsidR="00CE391C" w:rsidRPr="00EC20F8">
        <w:rPr>
          <w:rFonts w:ascii="Times New Roman" w:hAnsi="Times New Roman" w:cs="Times New Roman"/>
          <w:spacing w:val="5"/>
          <w:sz w:val="28"/>
          <w:szCs w:val="28"/>
        </w:rPr>
        <w:t>%</w:t>
      </w:r>
      <w:r w:rsidRPr="00EC20F8">
        <w:rPr>
          <w:rFonts w:ascii="Times New Roman" w:hAnsi="Times New Roman" w:cs="Times New Roman"/>
          <w:spacing w:val="5"/>
          <w:sz w:val="28"/>
          <w:szCs w:val="28"/>
        </w:rPr>
        <w:t xml:space="preserve">. </w:t>
      </w:r>
      <w:r w:rsidRPr="00EC20F8">
        <w:rPr>
          <w:rFonts w:ascii="Times New Roman" w:hAnsi="Times New Roman" w:cs="Times New Roman"/>
          <w:sz w:val="28"/>
          <w:szCs w:val="28"/>
        </w:rPr>
        <w:t xml:space="preserve">Ожидается снижение поступлений неналоговых доходов в бюджет города в 2014 году к 2013 году на 25,3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xml:space="preserve">. </w:t>
      </w:r>
    </w:p>
    <w:p w:rsidR="004871C3" w:rsidRPr="00EC20F8" w:rsidRDefault="004871C3" w:rsidP="00A25268">
      <w:pPr>
        <w:shd w:val="clear" w:color="auto" w:fill="FFFFFF"/>
        <w:ind w:firstLine="709"/>
        <w:jc w:val="both"/>
        <w:rPr>
          <w:rFonts w:ascii="Times New Roman" w:hAnsi="Times New Roman" w:cs="Times New Roman"/>
          <w:sz w:val="28"/>
          <w:szCs w:val="28"/>
        </w:rPr>
      </w:pPr>
      <w:r w:rsidRPr="00EC20F8">
        <w:rPr>
          <w:rFonts w:ascii="Times New Roman" w:hAnsi="Times New Roman" w:cs="Times New Roman"/>
          <w:sz w:val="28"/>
          <w:szCs w:val="28"/>
        </w:rPr>
        <w:t>Снижение поступлений обусловлено:</w:t>
      </w:r>
    </w:p>
    <w:p w:rsidR="004871C3" w:rsidRPr="00EC20F8" w:rsidRDefault="004871C3" w:rsidP="00A25268">
      <w:pPr>
        <w:shd w:val="clear" w:color="auto" w:fill="FFFFFF"/>
        <w:ind w:firstLine="709"/>
        <w:jc w:val="both"/>
        <w:rPr>
          <w:rFonts w:ascii="Times New Roman" w:hAnsi="Times New Roman" w:cs="Times New Roman"/>
          <w:sz w:val="28"/>
          <w:szCs w:val="28"/>
        </w:rPr>
      </w:pPr>
      <w:r w:rsidRPr="00EC20F8">
        <w:rPr>
          <w:rFonts w:ascii="Times New Roman" w:hAnsi="Times New Roman" w:cs="Times New Roman"/>
          <w:sz w:val="28"/>
          <w:szCs w:val="28"/>
        </w:rPr>
        <w:t>- снижением сумм денежных взысканий (штрафы) за правонарушения в области дорожного движения;</w:t>
      </w:r>
    </w:p>
    <w:p w:rsidR="004871C3" w:rsidRPr="00EC20F8" w:rsidRDefault="004871C3" w:rsidP="00A25268">
      <w:pPr>
        <w:pStyle w:val="a3"/>
        <w:shd w:val="clear" w:color="auto" w:fill="FFFFFF"/>
        <w:tabs>
          <w:tab w:val="left" w:pos="0"/>
        </w:tabs>
        <w:ind w:left="0"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снижением в 3,7 раза против 2013 года доходов от платных услуг в связи с оплатой в 2013 году задолженности МАУ «Управление жилищно-коммунального хозяйства г. Петропавловска-Камчатского» в размере 55,7 </w:t>
      </w:r>
      <w:proofErr w:type="spellStart"/>
      <w:proofErr w:type="gramStart"/>
      <w:r w:rsidR="00153BA5" w:rsidRPr="00EC20F8">
        <w:rPr>
          <w:rFonts w:ascii="Times New Roman" w:hAnsi="Times New Roman" w:cs="Times New Roman"/>
          <w:sz w:val="28"/>
          <w:szCs w:val="28"/>
        </w:rPr>
        <w:t>млн</w:t>
      </w:r>
      <w:proofErr w:type="spellEnd"/>
      <w:proofErr w:type="gramEnd"/>
      <w:r w:rsidR="00153BA5" w:rsidRPr="00EC20F8">
        <w:rPr>
          <w:rFonts w:ascii="Times New Roman" w:hAnsi="Times New Roman" w:cs="Times New Roman"/>
          <w:sz w:val="28"/>
          <w:szCs w:val="28"/>
        </w:rPr>
        <w:t xml:space="preserve"> рублей</w:t>
      </w:r>
      <w:r w:rsidRPr="00EC20F8">
        <w:rPr>
          <w:rFonts w:ascii="Times New Roman" w:hAnsi="Times New Roman" w:cs="Times New Roman"/>
          <w:sz w:val="28"/>
          <w:szCs w:val="28"/>
        </w:rPr>
        <w:t xml:space="preserve"> в рамках исполнения промежуточного ликвидационного баланса учреждения;  </w:t>
      </w:r>
    </w:p>
    <w:p w:rsidR="004871C3" w:rsidRPr="00EC20F8" w:rsidRDefault="004871C3" w:rsidP="00A25268">
      <w:pPr>
        <w:pStyle w:val="a3"/>
        <w:shd w:val="clear" w:color="auto" w:fill="FFFFFF"/>
        <w:ind w:left="0" w:firstLine="709"/>
        <w:jc w:val="both"/>
        <w:rPr>
          <w:rFonts w:ascii="Times New Roman" w:hAnsi="Times New Roman" w:cs="Times New Roman"/>
          <w:sz w:val="28"/>
          <w:szCs w:val="28"/>
        </w:rPr>
      </w:pPr>
      <w:r w:rsidRPr="00EC20F8">
        <w:rPr>
          <w:rFonts w:ascii="Times New Roman" w:hAnsi="Times New Roman" w:cs="Times New Roman"/>
          <w:sz w:val="28"/>
          <w:szCs w:val="28"/>
        </w:rPr>
        <w:t>- увеличением в 2013 году поступлений в бюджет платежей при пользовании природными ресурсами.</w:t>
      </w:r>
    </w:p>
    <w:p w:rsidR="004871C3" w:rsidRPr="00EC20F8" w:rsidRDefault="004871C3" w:rsidP="00A25268">
      <w:pPr>
        <w:pStyle w:val="aa"/>
        <w:spacing w:after="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Прогноз бюджета </w:t>
      </w:r>
      <w:proofErr w:type="gramStart"/>
      <w:r w:rsidRPr="00EC20F8">
        <w:rPr>
          <w:rFonts w:ascii="Times New Roman" w:hAnsi="Times New Roman" w:cs="Times New Roman"/>
          <w:sz w:val="28"/>
          <w:szCs w:val="28"/>
        </w:rPr>
        <w:t>Петропавловск-Камчатского</w:t>
      </w:r>
      <w:proofErr w:type="gramEnd"/>
      <w:r w:rsidRPr="00EC20F8">
        <w:rPr>
          <w:rFonts w:ascii="Times New Roman" w:hAnsi="Times New Roman" w:cs="Times New Roman"/>
          <w:sz w:val="28"/>
          <w:szCs w:val="28"/>
        </w:rPr>
        <w:t xml:space="preserve"> городского округа на период 2015-2017 годов разработан на вариантной основе:</w:t>
      </w:r>
    </w:p>
    <w:p w:rsidR="004871C3" w:rsidRPr="00EC20F8" w:rsidRDefault="004871C3" w:rsidP="00A25268">
      <w:pPr>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6"/>
        </w:rPr>
        <w:t>- первый вариант (</w:t>
      </w:r>
      <w:r w:rsidRPr="00EC20F8">
        <w:rPr>
          <w:rFonts w:ascii="Times New Roman" w:hAnsi="Times New Roman" w:cs="Times New Roman"/>
          <w:sz w:val="28"/>
          <w:szCs w:val="28"/>
        </w:rPr>
        <w:t>консервативный</w:t>
      </w:r>
      <w:r w:rsidRPr="00EC20F8">
        <w:rPr>
          <w:rFonts w:ascii="Times New Roman" w:hAnsi="Times New Roman" w:cs="Times New Roman"/>
          <w:sz w:val="28"/>
          <w:szCs w:val="26"/>
        </w:rPr>
        <w:t>):</w:t>
      </w:r>
      <w:r w:rsidRPr="00EC20F8">
        <w:rPr>
          <w:rFonts w:ascii="Times New Roman" w:hAnsi="Times New Roman" w:cs="Times New Roman"/>
          <w:sz w:val="28"/>
          <w:szCs w:val="28"/>
        </w:rPr>
        <w:t xml:space="preserve"> по доходам на основании сведений, представленных администраторами доходов бюджета городского округа, с учетом дополнительного норматива по налогу на доходы физических лиц на 2015 год в размере 1,7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xml:space="preserve">, на 2016 – 2017 годы – 1,5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с учетом показателей межбюджетных трансфертов в соответствии с законом Камчатского края от 20.11.2013 № 340 «О краевом бюджете на 2014 год и на плановый период 2015</w:t>
      </w:r>
      <w:proofErr w:type="gramEnd"/>
      <w:r w:rsidRPr="00EC20F8">
        <w:rPr>
          <w:rFonts w:ascii="Times New Roman" w:hAnsi="Times New Roman" w:cs="Times New Roman"/>
          <w:sz w:val="28"/>
          <w:szCs w:val="28"/>
        </w:rPr>
        <w:t xml:space="preserve"> и 2016 годов»;</w:t>
      </w:r>
    </w:p>
    <w:p w:rsidR="004871C3" w:rsidRPr="00EC20F8" w:rsidRDefault="004871C3" w:rsidP="00A25268">
      <w:pPr>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 второй вариант (умеренно-оптимистический): </w:t>
      </w:r>
      <w:r w:rsidRPr="00EC20F8">
        <w:rPr>
          <w:rFonts w:ascii="Times New Roman" w:hAnsi="Times New Roman" w:cs="Times New Roman"/>
          <w:sz w:val="28"/>
          <w:szCs w:val="26"/>
        </w:rPr>
        <w:t>по доходам и расходам на основании оценки исполнения бюджета по состоянию на 01.09.2014 и применением индекса потребительских цен на 2015 год и плановый период 2016- 2017 годов согласно письма Министерства экономического развития и торговли Камчатского края от 18</w:t>
      </w:r>
      <w:r w:rsidRPr="00EC20F8">
        <w:rPr>
          <w:rFonts w:ascii="Times New Roman" w:hAnsi="Times New Roman" w:cs="Times New Roman"/>
          <w:sz w:val="28"/>
          <w:szCs w:val="28"/>
        </w:rPr>
        <w:t xml:space="preserve">.06.2014 № 37-07/2376 в размерах: 105,9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xml:space="preserve">, 105,6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105,0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xml:space="preserve"> (по годам), с учетом показателей реестра расходных обязательств городского округа на 2014-2017</w:t>
      </w:r>
      <w:proofErr w:type="gramEnd"/>
      <w:r w:rsidRPr="00EC20F8">
        <w:rPr>
          <w:rFonts w:ascii="Times New Roman" w:hAnsi="Times New Roman" w:cs="Times New Roman"/>
          <w:sz w:val="28"/>
          <w:szCs w:val="28"/>
        </w:rPr>
        <w:t xml:space="preserve"> годы, объемов межбюджетных трансфертов в соответствии с законом Камчатского края от 20.11.2013 № 340 «О краевом бюджете на 2014 год и на плановый период 2015 и 2016 годов».</w:t>
      </w:r>
    </w:p>
    <w:p w:rsidR="004871C3" w:rsidRPr="00EC20F8" w:rsidRDefault="004871C3" w:rsidP="00A25268">
      <w:pPr>
        <w:ind w:firstLine="709"/>
        <w:jc w:val="both"/>
        <w:rPr>
          <w:rFonts w:ascii="Times New Roman" w:hAnsi="Times New Roman" w:cs="Times New Roman"/>
          <w:sz w:val="28"/>
          <w:szCs w:val="28"/>
        </w:rPr>
      </w:pPr>
      <w:r w:rsidRPr="00EC20F8">
        <w:rPr>
          <w:rFonts w:ascii="Times New Roman" w:hAnsi="Times New Roman" w:cs="Times New Roman"/>
          <w:b/>
          <w:i/>
          <w:sz w:val="28"/>
          <w:szCs w:val="28"/>
        </w:rPr>
        <w:t>Прогноз на период до 2017 года</w:t>
      </w:r>
      <w:r w:rsidRPr="00EC20F8">
        <w:rPr>
          <w:rFonts w:ascii="Times New Roman" w:hAnsi="Times New Roman" w:cs="Times New Roman"/>
          <w:b/>
          <w:sz w:val="28"/>
          <w:szCs w:val="28"/>
        </w:rPr>
        <w:t xml:space="preserve"> </w:t>
      </w:r>
      <w:r w:rsidRPr="00EC20F8">
        <w:rPr>
          <w:rFonts w:ascii="Times New Roman" w:hAnsi="Times New Roman" w:cs="Times New Roman"/>
          <w:sz w:val="28"/>
          <w:szCs w:val="28"/>
        </w:rPr>
        <w:t>сформирован на основе плановых проектировок краевого бюджета и бюджета городского округа с учетом политики выполнения социально-экономических задач среднесрочного периода. Изменение параметров бюджета городского округа предусматривается в пределах ограничений, заданных ресурсными возможностями собственной доходной базы, масштабами межбюджетных трансфертов, объемами муниципальных и инвестиционных программ, инфляционным фактором.</w:t>
      </w:r>
    </w:p>
    <w:p w:rsidR="004871C3" w:rsidRPr="00EC20F8" w:rsidRDefault="004871C3" w:rsidP="00A25268">
      <w:pPr>
        <w:ind w:firstLine="709"/>
        <w:jc w:val="both"/>
        <w:rPr>
          <w:rFonts w:ascii="Times New Roman" w:hAnsi="Times New Roman" w:cs="Times New Roman"/>
          <w:sz w:val="28"/>
          <w:szCs w:val="28"/>
        </w:rPr>
      </w:pPr>
      <w:r w:rsidRPr="00EC20F8">
        <w:rPr>
          <w:rFonts w:ascii="Times New Roman" w:hAnsi="Times New Roman" w:cs="Times New Roman"/>
          <w:b/>
          <w:i/>
          <w:sz w:val="28"/>
          <w:szCs w:val="28"/>
        </w:rPr>
        <w:t>По сценарию второго варианта</w:t>
      </w:r>
      <w:r w:rsidRPr="00EC20F8">
        <w:rPr>
          <w:rFonts w:ascii="Times New Roman" w:hAnsi="Times New Roman" w:cs="Times New Roman"/>
          <w:b/>
          <w:sz w:val="28"/>
          <w:szCs w:val="28"/>
        </w:rPr>
        <w:t xml:space="preserve"> </w:t>
      </w:r>
      <w:r w:rsidRPr="00EC20F8">
        <w:rPr>
          <w:rFonts w:ascii="Times New Roman" w:hAnsi="Times New Roman" w:cs="Times New Roman"/>
          <w:sz w:val="28"/>
          <w:szCs w:val="28"/>
        </w:rPr>
        <w:t xml:space="preserve">налоговые доходы в 2017 году увеличатся по сравнению с достигнутым в 2013 году уровнем на                           6,1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xml:space="preserve">, по неналоговым доходам прогнозируется снижение поступлений на 12,3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xml:space="preserve">. Результаты деятельности реального сектора экономики будут складываться адекватно изменению общего </w:t>
      </w:r>
      <w:proofErr w:type="spellStart"/>
      <w:proofErr w:type="gramStart"/>
      <w:r w:rsidRPr="00EC20F8">
        <w:rPr>
          <w:rFonts w:ascii="Times New Roman" w:hAnsi="Times New Roman" w:cs="Times New Roman"/>
          <w:sz w:val="28"/>
          <w:szCs w:val="28"/>
        </w:rPr>
        <w:t>бизнес-климата</w:t>
      </w:r>
      <w:proofErr w:type="spellEnd"/>
      <w:proofErr w:type="gramEnd"/>
      <w:r w:rsidRPr="00EC20F8">
        <w:rPr>
          <w:rFonts w:ascii="Times New Roman" w:hAnsi="Times New Roman" w:cs="Times New Roman"/>
          <w:sz w:val="28"/>
          <w:szCs w:val="28"/>
        </w:rPr>
        <w:t xml:space="preserve">. При этом среднегодовой темп </w:t>
      </w:r>
      <w:proofErr w:type="gramStart"/>
      <w:r w:rsidRPr="00EC20F8">
        <w:rPr>
          <w:rFonts w:ascii="Times New Roman" w:hAnsi="Times New Roman" w:cs="Times New Roman"/>
          <w:sz w:val="28"/>
          <w:szCs w:val="28"/>
        </w:rPr>
        <w:t>роста ресурсов организаций примет значения</w:t>
      </w:r>
      <w:proofErr w:type="gramEnd"/>
      <w:r w:rsidRPr="00EC20F8">
        <w:rPr>
          <w:rFonts w:ascii="Times New Roman" w:hAnsi="Times New Roman" w:cs="Times New Roman"/>
          <w:sz w:val="28"/>
          <w:szCs w:val="28"/>
        </w:rPr>
        <w:t xml:space="preserve"> в диапазоне от 5,0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xml:space="preserve"> до 5,9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xml:space="preserve">. </w:t>
      </w:r>
    </w:p>
    <w:p w:rsidR="004871C3" w:rsidRPr="00EC20F8" w:rsidRDefault="004871C3" w:rsidP="00A25268">
      <w:pPr>
        <w:ind w:firstLine="709"/>
        <w:jc w:val="both"/>
        <w:rPr>
          <w:rFonts w:ascii="Times New Roman" w:hAnsi="Times New Roman" w:cs="Times New Roman"/>
          <w:sz w:val="28"/>
          <w:szCs w:val="28"/>
        </w:rPr>
      </w:pPr>
      <w:r w:rsidRPr="00EC20F8">
        <w:rPr>
          <w:rFonts w:ascii="Times New Roman" w:hAnsi="Times New Roman" w:cs="Times New Roman"/>
          <w:b/>
          <w:i/>
          <w:sz w:val="28"/>
          <w:szCs w:val="28"/>
        </w:rPr>
        <w:t xml:space="preserve">Первый </w:t>
      </w:r>
      <w:r w:rsidR="006C1F50" w:rsidRPr="00EC20F8">
        <w:rPr>
          <w:rFonts w:ascii="Times New Roman" w:hAnsi="Times New Roman" w:cs="Times New Roman"/>
          <w:b/>
          <w:i/>
          <w:sz w:val="28"/>
          <w:szCs w:val="28"/>
        </w:rPr>
        <w:t xml:space="preserve">(базовый) </w:t>
      </w:r>
      <w:r w:rsidRPr="00EC20F8">
        <w:rPr>
          <w:rFonts w:ascii="Times New Roman" w:hAnsi="Times New Roman" w:cs="Times New Roman"/>
          <w:b/>
          <w:i/>
          <w:sz w:val="28"/>
          <w:szCs w:val="28"/>
        </w:rPr>
        <w:t>вариант</w:t>
      </w:r>
      <w:r w:rsidRPr="00EC20F8">
        <w:rPr>
          <w:rFonts w:ascii="Times New Roman" w:hAnsi="Times New Roman" w:cs="Times New Roman"/>
          <w:b/>
          <w:sz w:val="28"/>
          <w:szCs w:val="28"/>
        </w:rPr>
        <w:t xml:space="preserve"> </w:t>
      </w:r>
      <w:r w:rsidRPr="00EC20F8">
        <w:rPr>
          <w:rFonts w:ascii="Times New Roman" w:hAnsi="Times New Roman" w:cs="Times New Roman"/>
          <w:sz w:val="28"/>
          <w:szCs w:val="28"/>
        </w:rPr>
        <w:t xml:space="preserve">учитывает вероятность реализации менее благоприятных внешних и внутренних экономических условий. Прогнозируются менее интенсивные среднегодовые темпы формирования ресурсов организаций в целом от 4,1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xml:space="preserve"> до 4,4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xml:space="preserve">. Ожидается, что среднегодовой темп роста наиболее активно растущего сегмента доходов - налоговых доходов, составит от 4,7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xml:space="preserve"> до 5,0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w:t>
      </w:r>
    </w:p>
    <w:p w:rsidR="004871C3" w:rsidRPr="00EC20F8" w:rsidRDefault="004871C3" w:rsidP="00A25268">
      <w:pPr>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Налоговые доходы в 2017 году увеличатся по сравнению с достигнутым в 2013 году уровнем на 4,4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 xml:space="preserve"> по неналоговым доходам прогнозируется снижение поступлений на 29,4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w:t>
      </w:r>
      <w:proofErr w:type="gramEnd"/>
    </w:p>
    <w:p w:rsidR="004871C3" w:rsidRPr="00EC20F8" w:rsidRDefault="004871C3" w:rsidP="00A25268">
      <w:pPr>
        <w:ind w:firstLine="709"/>
        <w:jc w:val="both"/>
        <w:rPr>
          <w:rFonts w:ascii="Times New Roman" w:hAnsi="Times New Roman" w:cs="Times New Roman"/>
          <w:sz w:val="28"/>
          <w:szCs w:val="28"/>
        </w:rPr>
      </w:pPr>
      <w:r w:rsidRPr="00EC20F8">
        <w:rPr>
          <w:rFonts w:ascii="Times New Roman" w:hAnsi="Times New Roman" w:cs="Times New Roman"/>
          <w:sz w:val="28"/>
          <w:szCs w:val="28"/>
        </w:rPr>
        <w:t>Все варианты прогноза составлены с учетом реализации целей и задач, обозначенных в Основных направлениях бюджетной политики Российской Федерации на 2015 год и плановый период 2016 и 2017 годов, Основных направлениях налоговой политики Российской Федерации на 2015 год и плановый период 2016 и 2017 годов.</w:t>
      </w:r>
    </w:p>
    <w:p w:rsidR="004871C3" w:rsidRPr="00EC20F8" w:rsidRDefault="004871C3" w:rsidP="00A25268">
      <w:pPr>
        <w:ind w:firstLine="709"/>
        <w:jc w:val="both"/>
        <w:rPr>
          <w:rFonts w:ascii="Times New Roman" w:hAnsi="Times New Roman" w:cs="Times New Roman"/>
          <w:sz w:val="28"/>
          <w:szCs w:val="28"/>
        </w:rPr>
      </w:pPr>
      <w:r w:rsidRPr="00EC20F8">
        <w:rPr>
          <w:rFonts w:ascii="Times New Roman" w:hAnsi="Times New Roman" w:cs="Times New Roman"/>
          <w:sz w:val="28"/>
          <w:szCs w:val="28"/>
        </w:rPr>
        <w:t>Оценка исполнения бюджета городского округа по расходам за 2014 год производилась с учетом:</w:t>
      </w:r>
    </w:p>
    <w:p w:rsidR="004871C3" w:rsidRPr="00EC20F8" w:rsidRDefault="004871C3" w:rsidP="00A25268">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результатов </w:t>
      </w:r>
      <w:proofErr w:type="gramStart"/>
      <w:r w:rsidRPr="00EC20F8">
        <w:rPr>
          <w:rFonts w:ascii="Times New Roman" w:hAnsi="Times New Roman" w:cs="Times New Roman"/>
          <w:sz w:val="28"/>
          <w:szCs w:val="28"/>
        </w:rPr>
        <w:t>оптимизации расходов бюджета городского округа</w:t>
      </w:r>
      <w:proofErr w:type="gramEnd"/>
      <w:r w:rsidRPr="00EC20F8">
        <w:rPr>
          <w:rFonts w:ascii="Times New Roman" w:hAnsi="Times New Roman" w:cs="Times New Roman"/>
          <w:sz w:val="28"/>
          <w:szCs w:val="28"/>
        </w:rPr>
        <w:t>;</w:t>
      </w:r>
    </w:p>
    <w:p w:rsidR="004871C3" w:rsidRPr="00EC20F8" w:rsidRDefault="004871C3" w:rsidP="00A25268">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кассового исполнения бюджета городского округа по состоянию на 01 сентября 2014 года; </w:t>
      </w:r>
    </w:p>
    <w:p w:rsidR="004871C3" w:rsidRPr="00EC20F8" w:rsidRDefault="004871C3" w:rsidP="00A25268">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w:t>
      </w:r>
      <w:r w:rsidRPr="00EC20F8">
        <w:rPr>
          <w:rFonts w:ascii="Times New Roman" w:hAnsi="Times New Roman" w:cs="Times New Roman"/>
          <w:sz w:val="28"/>
          <w:szCs w:val="26"/>
        </w:rPr>
        <w:t>приведения прогнозных показателей по доходам и расходам бюджета городского округа в соответствии с изменениями бюджетного законодательства, вступающего в силу с 01.01.2014.</w:t>
      </w:r>
    </w:p>
    <w:p w:rsidR="004871C3" w:rsidRPr="00EC20F8" w:rsidRDefault="004871C3" w:rsidP="00A25268">
      <w:pPr>
        <w:widowControl w:val="0"/>
        <w:autoSpaceDE w:val="0"/>
        <w:autoSpaceDN w:val="0"/>
        <w:adjustRightInd w:val="0"/>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Основной целью бюджетной и налоговой политики городского округа на 2015-2017 годы является обеспечение устойчивости бюджетного процесса в городском округе и безусловное исполнение принятых обязательств наиболее эффективным способом в условиях ограничения роста расходов бюджета городского округа, в том числе в рамках утвержденных муниципальных программ.</w:t>
      </w:r>
      <w:proofErr w:type="gramEnd"/>
    </w:p>
    <w:p w:rsidR="004871C3" w:rsidRPr="00EC20F8" w:rsidRDefault="004871C3" w:rsidP="00A25268">
      <w:pPr>
        <w:autoSpaceDE w:val="0"/>
        <w:autoSpaceDN w:val="0"/>
        <w:adjustRightInd w:val="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Приоритетными направлениями расходов бюджета городского округа остаются: </w:t>
      </w:r>
    </w:p>
    <w:p w:rsidR="004871C3" w:rsidRPr="00EC20F8" w:rsidRDefault="004871C3" w:rsidP="00A25268">
      <w:pPr>
        <w:autoSpaceDE w:val="0"/>
        <w:autoSpaceDN w:val="0"/>
        <w:adjustRightInd w:val="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обеспечение принципа </w:t>
      </w:r>
      <w:proofErr w:type="spellStart"/>
      <w:r w:rsidRPr="00EC20F8">
        <w:rPr>
          <w:rFonts w:ascii="Times New Roman" w:hAnsi="Times New Roman" w:cs="Times New Roman"/>
          <w:sz w:val="28"/>
          <w:szCs w:val="28"/>
        </w:rPr>
        <w:t>адресности</w:t>
      </w:r>
      <w:proofErr w:type="spellEnd"/>
      <w:r w:rsidRPr="00EC20F8">
        <w:rPr>
          <w:rFonts w:ascii="Times New Roman" w:hAnsi="Times New Roman" w:cs="Times New Roman"/>
          <w:sz w:val="28"/>
          <w:szCs w:val="28"/>
        </w:rPr>
        <w:t xml:space="preserve"> и нуждаемости при оказании социальной поддержки;</w:t>
      </w:r>
    </w:p>
    <w:p w:rsidR="004871C3" w:rsidRPr="00EC20F8" w:rsidRDefault="004871C3" w:rsidP="00A25268">
      <w:pPr>
        <w:autoSpaceDE w:val="0"/>
        <w:autoSpaceDN w:val="0"/>
        <w:adjustRightInd w:val="0"/>
        <w:ind w:firstLine="709"/>
        <w:jc w:val="both"/>
        <w:rPr>
          <w:rFonts w:ascii="Times New Roman" w:hAnsi="Times New Roman" w:cs="Times New Roman"/>
          <w:sz w:val="28"/>
          <w:szCs w:val="28"/>
        </w:rPr>
      </w:pPr>
      <w:r w:rsidRPr="00EC20F8">
        <w:rPr>
          <w:rFonts w:ascii="Times New Roman" w:hAnsi="Times New Roman" w:cs="Times New Roman"/>
          <w:sz w:val="28"/>
          <w:szCs w:val="28"/>
        </w:rPr>
        <w:t>- погашение долговых обязательств городского округа;</w:t>
      </w:r>
    </w:p>
    <w:p w:rsidR="004871C3" w:rsidRPr="00EC20F8" w:rsidRDefault="004871C3" w:rsidP="00A25268">
      <w:pPr>
        <w:autoSpaceDE w:val="0"/>
        <w:autoSpaceDN w:val="0"/>
        <w:adjustRightInd w:val="0"/>
        <w:ind w:firstLine="709"/>
        <w:jc w:val="both"/>
        <w:rPr>
          <w:rFonts w:ascii="Times New Roman" w:hAnsi="Times New Roman" w:cs="Times New Roman"/>
          <w:sz w:val="28"/>
          <w:szCs w:val="28"/>
        </w:rPr>
      </w:pPr>
      <w:r w:rsidRPr="00EC20F8">
        <w:rPr>
          <w:rFonts w:ascii="Times New Roman" w:hAnsi="Times New Roman" w:cs="Times New Roman"/>
          <w:sz w:val="28"/>
          <w:szCs w:val="28"/>
        </w:rPr>
        <w:t>- развитие инфраструктуры городского округа.</w:t>
      </w:r>
    </w:p>
    <w:p w:rsidR="004871C3" w:rsidRPr="00EC20F8" w:rsidRDefault="004871C3" w:rsidP="00A25268">
      <w:pPr>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По расходам, и по первому, и по второму вариантам планируется снижение общего объема расходов по сравнению с оценкой исполнения в 2014 году, что в основном связано с уменьшением объема безвозмездных поступлений: </w:t>
      </w:r>
      <w:proofErr w:type="gramEnd"/>
    </w:p>
    <w:p w:rsidR="004871C3" w:rsidRPr="00EC20F8" w:rsidRDefault="004871C3" w:rsidP="00A25268">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2015 год на 10,8 и 10,0 </w:t>
      </w:r>
      <w:r w:rsidR="00CE391C" w:rsidRPr="00EC20F8">
        <w:rPr>
          <w:rFonts w:ascii="Times New Roman" w:hAnsi="Times New Roman" w:cs="Times New Roman"/>
          <w:sz w:val="28"/>
          <w:szCs w:val="28"/>
        </w:rPr>
        <w:t>%</w:t>
      </w:r>
      <w:r w:rsidRPr="00EC20F8">
        <w:rPr>
          <w:rFonts w:ascii="Times New Roman" w:hAnsi="Times New Roman" w:cs="Times New Roman"/>
          <w:sz w:val="28"/>
          <w:szCs w:val="28"/>
        </w:rPr>
        <w:t>;</w:t>
      </w:r>
    </w:p>
    <w:p w:rsidR="004871C3" w:rsidRPr="00EC20F8" w:rsidRDefault="004871C3" w:rsidP="00A25268">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2016 год на 8,7 и 7,6 </w:t>
      </w:r>
      <w:r w:rsidR="00E97AE5" w:rsidRPr="00EC20F8">
        <w:rPr>
          <w:rFonts w:ascii="Times New Roman" w:hAnsi="Times New Roman" w:cs="Times New Roman"/>
          <w:sz w:val="28"/>
          <w:szCs w:val="28"/>
        </w:rPr>
        <w:t>%</w:t>
      </w:r>
      <w:r w:rsidRPr="00EC20F8">
        <w:rPr>
          <w:rFonts w:ascii="Times New Roman" w:hAnsi="Times New Roman" w:cs="Times New Roman"/>
          <w:sz w:val="28"/>
          <w:szCs w:val="28"/>
        </w:rPr>
        <w:t>;</w:t>
      </w:r>
    </w:p>
    <w:p w:rsidR="00CB61DE" w:rsidRPr="00EC20F8" w:rsidRDefault="004871C3" w:rsidP="00CB61DE">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2017 год на 10,6 и 9,2 </w:t>
      </w:r>
      <w:r w:rsidR="00E97AE5" w:rsidRPr="00EC20F8">
        <w:rPr>
          <w:rFonts w:ascii="Times New Roman" w:hAnsi="Times New Roman" w:cs="Times New Roman"/>
          <w:sz w:val="28"/>
          <w:szCs w:val="28"/>
        </w:rPr>
        <w:t>%</w:t>
      </w:r>
      <w:r w:rsidRPr="00EC20F8">
        <w:rPr>
          <w:rFonts w:ascii="Times New Roman" w:hAnsi="Times New Roman" w:cs="Times New Roman"/>
          <w:sz w:val="28"/>
          <w:szCs w:val="28"/>
        </w:rPr>
        <w:t>.</w:t>
      </w:r>
      <w:r w:rsidR="00CB61DE" w:rsidRPr="00EC20F8">
        <w:rPr>
          <w:rFonts w:ascii="Times New Roman" w:hAnsi="Times New Roman" w:cs="Times New Roman"/>
          <w:sz w:val="28"/>
          <w:szCs w:val="28"/>
        </w:rPr>
        <w:t xml:space="preserve"> </w:t>
      </w:r>
    </w:p>
    <w:p w:rsidR="00CB61DE" w:rsidRPr="00EC20F8" w:rsidRDefault="004871C3" w:rsidP="00CB61DE">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В целом по обоим вариантам отклонения прогнозных показателей по отраслям незначительны, отклонения общего </w:t>
      </w:r>
      <w:r w:rsidR="00CB61DE" w:rsidRPr="00EC20F8">
        <w:rPr>
          <w:rFonts w:ascii="Times New Roman" w:hAnsi="Times New Roman" w:cs="Times New Roman"/>
          <w:sz w:val="28"/>
          <w:szCs w:val="28"/>
        </w:rPr>
        <w:t>объема расходов по первому</w:t>
      </w:r>
    </w:p>
    <w:p w:rsidR="004871C3" w:rsidRPr="00EC20F8" w:rsidRDefault="00CB61DE" w:rsidP="00CB61DE">
      <w:pPr>
        <w:spacing w:line="240" w:lineRule="auto"/>
        <w:jc w:val="both"/>
        <w:rPr>
          <w:rFonts w:ascii="Times New Roman" w:hAnsi="Times New Roman" w:cs="Times New Roman"/>
          <w:sz w:val="28"/>
          <w:szCs w:val="28"/>
        </w:rPr>
      </w:pPr>
      <w:r w:rsidRPr="00EC20F8">
        <w:rPr>
          <w:rFonts w:ascii="Times New Roman" w:hAnsi="Times New Roman" w:cs="Times New Roman"/>
          <w:sz w:val="28"/>
          <w:szCs w:val="28"/>
        </w:rPr>
        <w:t>и</w:t>
      </w:r>
      <w:r w:rsidR="004871C3" w:rsidRPr="00EC20F8">
        <w:rPr>
          <w:rFonts w:ascii="Times New Roman" w:hAnsi="Times New Roman" w:cs="Times New Roman"/>
          <w:sz w:val="28"/>
          <w:szCs w:val="28"/>
        </w:rPr>
        <w:t xml:space="preserve"> второму варианту составляет:</w:t>
      </w:r>
    </w:p>
    <w:p w:rsidR="004871C3" w:rsidRPr="00EC20F8" w:rsidRDefault="004871C3" w:rsidP="00A25268">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2015 год – 95,6 </w:t>
      </w:r>
      <w:proofErr w:type="spellStart"/>
      <w:proofErr w:type="gramStart"/>
      <w:r w:rsidR="00153BA5" w:rsidRPr="00EC20F8">
        <w:rPr>
          <w:rFonts w:ascii="Times New Roman" w:hAnsi="Times New Roman" w:cs="Times New Roman"/>
          <w:sz w:val="28"/>
          <w:szCs w:val="28"/>
        </w:rPr>
        <w:t>млн</w:t>
      </w:r>
      <w:proofErr w:type="spellEnd"/>
      <w:proofErr w:type="gramEnd"/>
      <w:r w:rsidR="00153BA5" w:rsidRPr="00EC20F8">
        <w:rPr>
          <w:rFonts w:ascii="Times New Roman" w:hAnsi="Times New Roman" w:cs="Times New Roman"/>
          <w:sz w:val="28"/>
          <w:szCs w:val="28"/>
        </w:rPr>
        <w:t xml:space="preserve"> рублей</w:t>
      </w:r>
      <w:r w:rsidRPr="00EC20F8">
        <w:rPr>
          <w:rFonts w:ascii="Times New Roman" w:hAnsi="Times New Roman" w:cs="Times New Roman"/>
          <w:sz w:val="28"/>
          <w:szCs w:val="28"/>
        </w:rPr>
        <w:t xml:space="preserve">, или 0,9 </w:t>
      </w:r>
      <w:r w:rsidR="00E97AE5" w:rsidRPr="00EC20F8">
        <w:rPr>
          <w:rFonts w:ascii="Times New Roman" w:hAnsi="Times New Roman" w:cs="Times New Roman"/>
          <w:sz w:val="28"/>
          <w:szCs w:val="28"/>
        </w:rPr>
        <w:t>%</w:t>
      </w:r>
      <w:r w:rsidRPr="00EC20F8">
        <w:rPr>
          <w:rFonts w:ascii="Times New Roman" w:hAnsi="Times New Roman" w:cs="Times New Roman"/>
          <w:sz w:val="28"/>
          <w:szCs w:val="28"/>
        </w:rPr>
        <w:t>;</w:t>
      </w:r>
    </w:p>
    <w:p w:rsidR="004871C3" w:rsidRPr="00EC20F8" w:rsidRDefault="004871C3" w:rsidP="00A25268">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2016 год –143,8 </w:t>
      </w:r>
      <w:proofErr w:type="spellStart"/>
      <w:proofErr w:type="gramStart"/>
      <w:r w:rsidR="00153BA5" w:rsidRPr="00EC20F8">
        <w:rPr>
          <w:rFonts w:ascii="Times New Roman" w:hAnsi="Times New Roman" w:cs="Times New Roman"/>
          <w:sz w:val="28"/>
          <w:szCs w:val="28"/>
        </w:rPr>
        <w:t>млн</w:t>
      </w:r>
      <w:proofErr w:type="spellEnd"/>
      <w:proofErr w:type="gramEnd"/>
      <w:r w:rsidR="00153BA5" w:rsidRPr="00EC20F8">
        <w:rPr>
          <w:rFonts w:ascii="Times New Roman" w:hAnsi="Times New Roman" w:cs="Times New Roman"/>
          <w:sz w:val="28"/>
          <w:szCs w:val="28"/>
        </w:rPr>
        <w:t xml:space="preserve"> рублей</w:t>
      </w:r>
      <w:r w:rsidRPr="00EC20F8">
        <w:rPr>
          <w:rFonts w:ascii="Times New Roman" w:hAnsi="Times New Roman" w:cs="Times New Roman"/>
          <w:sz w:val="28"/>
          <w:szCs w:val="28"/>
        </w:rPr>
        <w:t xml:space="preserve">, или 1,3 </w:t>
      </w:r>
      <w:r w:rsidR="00E97AE5" w:rsidRPr="00EC20F8">
        <w:rPr>
          <w:rFonts w:ascii="Times New Roman" w:hAnsi="Times New Roman" w:cs="Times New Roman"/>
          <w:sz w:val="28"/>
          <w:szCs w:val="28"/>
        </w:rPr>
        <w:t>%</w:t>
      </w:r>
      <w:r w:rsidRPr="00EC20F8">
        <w:rPr>
          <w:rFonts w:ascii="Times New Roman" w:hAnsi="Times New Roman" w:cs="Times New Roman"/>
          <w:sz w:val="28"/>
          <w:szCs w:val="28"/>
        </w:rPr>
        <w:t>;</w:t>
      </w:r>
    </w:p>
    <w:p w:rsidR="004871C3" w:rsidRPr="00EC20F8" w:rsidRDefault="004871C3" w:rsidP="00A25268">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2017 год – 165,8 </w:t>
      </w:r>
      <w:proofErr w:type="spellStart"/>
      <w:proofErr w:type="gramStart"/>
      <w:r w:rsidR="00153BA5" w:rsidRPr="00EC20F8">
        <w:rPr>
          <w:rFonts w:ascii="Times New Roman" w:hAnsi="Times New Roman" w:cs="Times New Roman"/>
          <w:sz w:val="28"/>
          <w:szCs w:val="28"/>
        </w:rPr>
        <w:t>млн</w:t>
      </w:r>
      <w:proofErr w:type="spellEnd"/>
      <w:proofErr w:type="gramEnd"/>
      <w:r w:rsidR="00153BA5" w:rsidRPr="00EC20F8">
        <w:rPr>
          <w:rFonts w:ascii="Times New Roman" w:hAnsi="Times New Roman" w:cs="Times New Roman"/>
          <w:sz w:val="28"/>
          <w:szCs w:val="28"/>
        </w:rPr>
        <w:t xml:space="preserve"> рублей</w:t>
      </w:r>
      <w:r w:rsidRPr="00EC20F8">
        <w:rPr>
          <w:rFonts w:ascii="Times New Roman" w:hAnsi="Times New Roman" w:cs="Times New Roman"/>
          <w:sz w:val="28"/>
          <w:szCs w:val="28"/>
        </w:rPr>
        <w:t xml:space="preserve">, или 1,5 </w:t>
      </w:r>
      <w:r w:rsidR="00E97AE5" w:rsidRPr="00EC20F8">
        <w:rPr>
          <w:rFonts w:ascii="Times New Roman" w:hAnsi="Times New Roman" w:cs="Times New Roman"/>
          <w:sz w:val="28"/>
          <w:szCs w:val="28"/>
        </w:rPr>
        <w:t>%</w:t>
      </w:r>
      <w:r w:rsidRPr="00EC20F8">
        <w:rPr>
          <w:rFonts w:ascii="Times New Roman" w:hAnsi="Times New Roman" w:cs="Times New Roman"/>
          <w:sz w:val="28"/>
          <w:szCs w:val="28"/>
        </w:rPr>
        <w:t>.</w:t>
      </w:r>
    </w:p>
    <w:p w:rsidR="001B413D" w:rsidRPr="00EC20F8" w:rsidRDefault="001B413D" w:rsidP="00A25268">
      <w:pPr>
        <w:ind w:firstLine="709"/>
        <w:jc w:val="both"/>
        <w:rPr>
          <w:rFonts w:ascii="Times New Roman" w:hAnsi="Times New Roman" w:cs="Times New Roman"/>
          <w:sz w:val="28"/>
          <w:szCs w:val="28"/>
        </w:rPr>
      </w:pPr>
      <w:r w:rsidRPr="00EC20F8">
        <w:rPr>
          <w:rFonts w:ascii="Times New Roman" w:hAnsi="Times New Roman" w:cs="Times New Roman"/>
          <w:sz w:val="28"/>
          <w:szCs w:val="28"/>
        </w:rPr>
        <w:t>Объем инвестиций по предварительным расчетам определен в следующих объемах:</w:t>
      </w:r>
    </w:p>
    <w:p w:rsidR="001B413D" w:rsidRPr="00EC20F8" w:rsidRDefault="001B413D" w:rsidP="00A25268">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на 2015 год – 1 349,6 млн. рублей; </w:t>
      </w:r>
    </w:p>
    <w:p w:rsidR="001B413D" w:rsidRPr="00EC20F8" w:rsidRDefault="001B413D" w:rsidP="00A25268">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на 2016 год – 1 355,9 млн. рублей; </w:t>
      </w:r>
    </w:p>
    <w:p w:rsidR="001B413D" w:rsidRPr="00EC20F8" w:rsidRDefault="001B413D" w:rsidP="00A25268">
      <w:pPr>
        <w:ind w:firstLine="709"/>
        <w:jc w:val="both"/>
        <w:rPr>
          <w:rFonts w:ascii="Times New Roman" w:hAnsi="Times New Roman" w:cs="Times New Roman"/>
          <w:sz w:val="28"/>
          <w:szCs w:val="28"/>
        </w:rPr>
      </w:pPr>
      <w:r w:rsidRPr="00EC20F8">
        <w:rPr>
          <w:rFonts w:ascii="Times New Roman" w:hAnsi="Times New Roman" w:cs="Times New Roman"/>
          <w:sz w:val="28"/>
          <w:szCs w:val="28"/>
        </w:rPr>
        <w:t>на 2017 год – 1 311,5 млн. рублей;</w:t>
      </w:r>
    </w:p>
    <w:p w:rsidR="001B413D" w:rsidRPr="00EC20F8" w:rsidRDefault="001B413D" w:rsidP="00A25268">
      <w:pPr>
        <w:ind w:firstLine="709"/>
        <w:jc w:val="both"/>
        <w:rPr>
          <w:rFonts w:ascii="Times New Roman" w:hAnsi="Times New Roman" w:cs="Times New Roman"/>
          <w:sz w:val="28"/>
          <w:szCs w:val="28"/>
        </w:rPr>
      </w:pPr>
      <w:r w:rsidRPr="00EC20F8">
        <w:rPr>
          <w:rFonts w:ascii="Times New Roman" w:hAnsi="Times New Roman" w:cs="Times New Roman"/>
          <w:sz w:val="28"/>
          <w:szCs w:val="28"/>
        </w:rPr>
        <w:t>По обоим вариантам основная доля расходов приходится на социально-культурные мероприятия, по оценке 2014 года она составляет 57,6 %:</w:t>
      </w:r>
    </w:p>
    <w:p w:rsidR="001B413D" w:rsidRPr="00EC20F8" w:rsidRDefault="001B413D" w:rsidP="00A25268">
      <w:pPr>
        <w:ind w:firstLine="709"/>
        <w:jc w:val="both"/>
        <w:rPr>
          <w:rFonts w:ascii="Times New Roman" w:hAnsi="Times New Roman" w:cs="Times New Roman"/>
          <w:sz w:val="28"/>
          <w:szCs w:val="28"/>
        </w:rPr>
      </w:pPr>
      <w:r w:rsidRPr="00EC20F8">
        <w:rPr>
          <w:rFonts w:ascii="Times New Roman" w:hAnsi="Times New Roman" w:cs="Times New Roman"/>
          <w:sz w:val="28"/>
          <w:szCs w:val="28"/>
        </w:rPr>
        <w:t>2015 год – 65,7 %, рост к оценке 2014 года 8,1 %;</w:t>
      </w:r>
    </w:p>
    <w:p w:rsidR="001B413D" w:rsidRPr="00EC20F8" w:rsidRDefault="001B413D" w:rsidP="00A25268">
      <w:pPr>
        <w:ind w:firstLine="709"/>
        <w:jc w:val="both"/>
        <w:rPr>
          <w:rFonts w:ascii="Times New Roman" w:hAnsi="Times New Roman" w:cs="Times New Roman"/>
          <w:sz w:val="28"/>
          <w:szCs w:val="28"/>
        </w:rPr>
      </w:pPr>
      <w:r w:rsidRPr="00EC20F8">
        <w:rPr>
          <w:rFonts w:ascii="Times New Roman" w:hAnsi="Times New Roman" w:cs="Times New Roman"/>
          <w:sz w:val="28"/>
          <w:szCs w:val="28"/>
        </w:rPr>
        <w:t>2016 год – 65,8 %, рост к оценке 2014 года 8,2 %;</w:t>
      </w:r>
    </w:p>
    <w:p w:rsidR="001B413D" w:rsidRPr="00EC20F8" w:rsidRDefault="001B413D" w:rsidP="00A25268">
      <w:pPr>
        <w:ind w:firstLine="709"/>
        <w:jc w:val="both"/>
        <w:rPr>
          <w:rFonts w:ascii="Times New Roman" w:hAnsi="Times New Roman" w:cs="Times New Roman"/>
          <w:sz w:val="28"/>
          <w:szCs w:val="28"/>
        </w:rPr>
      </w:pPr>
      <w:r w:rsidRPr="00EC20F8">
        <w:rPr>
          <w:rFonts w:ascii="Times New Roman" w:hAnsi="Times New Roman" w:cs="Times New Roman"/>
          <w:sz w:val="28"/>
          <w:szCs w:val="28"/>
        </w:rPr>
        <w:t>2017 году – 63,7 %, рост к оценке 2014 года 6,1 %.</w:t>
      </w:r>
    </w:p>
    <w:p w:rsidR="004871C3" w:rsidRPr="00EC20F8" w:rsidRDefault="004871C3" w:rsidP="00A25268">
      <w:pPr>
        <w:ind w:firstLine="709"/>
        <w:jc w:val="both"/>
        <w:rPr>
          <w:rFonts w:ascii="Times New Roman" w:hAnsi="Times New Roman" w:cs="Times New Roman"/>
          <w:sz w:val="28"/>
          <w:szCs w:val="28"/>
        </w:rPr>
      </w:pPr>
      <w:r w:rsidRPr="00EC20F8">
        <w:rPr>
          <w:rFonts w:ascii="Times New Roman" w:hAnsi="Times New Roman" w:cs="Times New Roman"/>
          <w:sz w:val="28"/>
          <w:szCs w:val="28"/>
        </w:rPr>
        <w:t>Наибольший удельный вес в расходах на социально-культурные мероприятия занимают расходы на образование и социальную политику:</w:t>
      </w:r>
    </w:p>
    <w:p w:rsidR="00CB61DE" w:rsidRPr="00EC20F8" w:rsidRDefault="00CB61DE" w:rsidP="00A25268">
      <w:pPr>
        <w:ind w:firstLine="709"/>
        <w:jc w:val="both"/>
        <w:rPr>
          <w:rFonts w:ascii="Times New Roman" w:hAnsi="Times New Roman" w:cs="Times New Roman"/>
          <w:sz w:val="28"/>
          <w:szCs w:val="28"/>
        </w:rPr>
      </w:pPr>
    </w:p>
    <w:p w:rsidR="001B413D" w:rsidRPr="00EC20F8" w:rsidRDefault="001B413D" w:rsidP="004871C3">
      <w:pPr>
        <w:ind w:firstLine="709"/>
        <w:jc w:val="both"/>
        <w:rPr>
          <w:rFonts w:ascii="Times New Roman" w:hAnsi="Times New Roman" w:cs="Times New Roman"/>
          <w:sz w:val="28"/>
          <w:szCs w:val="28"/>
        </w:rPr>
      </w:pPr>
      <w:r w:rsidRPr="00EC20F8">
        <w:rPr>
          <w:noProof/>
          <w:lang w:eastAsia="ru-RU"/>
        </w:rPr>
        <w:drawing>
          <wp:inline distT="0" distB="0" distL="0" distR="0">
            <wp:extent cx="5276850" cy="2752725"/>
            <wp:effectExtent l="0" t="0" r="0" b="0"/>
            <wp:docPr id="5"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737AD6" w:rsidRPr="00EC20F8" w:rsidRDefault="00737AD6" w:rsidP="001B413D">
      <w:pPr>
        <w:jc w:val="both"/>
        <w:rPr>
          <w:rFonts w:ascii="Times New Roman" w:hAnsi="Times New Roman" w:cs="Times New Roman"/>
          <w:i/>
          <w:sz w:val="12"/>
          <w:szCs w:val="12"/>
        </w:rPr>
      </w:pPr>
    </w:p>
    <w:p w:rsidR="00737AD6" w:rsidRPr="00EC20F8" w:rsidRDefault="00737AD6" w:rsidP="004871C3">
      <w:pPr>
        <w:ind w:firstLine="709"/>
        <w:jc w:val="both"/>
        <w:rPr>
          <w:rFonts w:ascii="Times New Roman" w:hAnsi="Times New Roman" w:cs="Times New Roman"/>
          <w:i/>
        </w:rPr>
      </w:pPr>
      <w:r w:rsidRPr="00EC20F8">
        <w:rPr>
          <w:rFonts w:ascii="Times New Roman" w:hAnsi="Times New Roman" w:cs="Times New Roman"/>
          <w:i/>
        </w:rPr>
        <w:t xml:space="preserve">Рис.17.3. Структура расходной части бюджета </w:t>
      </w:r>
      <w:proofErr w:type="gramStart"/>
      <w:r w:rsidRPr="00EC20F8">
        <w:rPr>
          <w:rFonts w:ascii="Times New Roman" w:hAnsi="Times New Roman" w:cs="Times New Roman"/>
          <w:i/>
        </w:rPr>
        <w:t>Петропавловск-Камчатского</w:t>
      </w:r>
      <w:proofErr w:type="gramEnd"/>
      <w:r w:rsidRPr="00EC20F8">
        <w:rPr>
          <w:rFonts w:ascii="Times New Roman" w:hAnsi="Times New Roman" w:cs="Times New Roman"/>
          <w:i/>
        </w:rPr>
        <w:t xml:space="preserve"> городского округа на социально-культурные мероприятия на 2015-2017 годы</w:t>
      </w:r>
    </w:p>
    <w:p w:rsidR="00CB61DE" w:rsidRPr="00EC20F8" w:rsidRDefault="00CB61DE" w:rsidP="004871C3">
      <w:pPr>
        <w:ind w:firstLine="709"/>
        <w:jc w:val="both"/>
        <w:rPr>
          <w:rFonts w:ascii="Times New Roman" w:hAnsi="Times New Roman" w:cs="Times New Roman"/>
          <w:sz w:val="12"/>
          <w:szCs w:val="12"/>
        </w:rPr>
      </w:pPr>
    </w:p>
    <w:p w:rsidR="004871C3" w:rsidRPr="00EC20F8" w:rsidRDefault="004871C3" w:rsidP="004871C3">
      <w:pPr>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Доля затрат на жилищно-коммунальное хозяйство и национальную экономику в 2014 году по оценке составляет 33,0 </w:t>
      </w:r>
      <w:r w:rsidR="00FA7827" w:rsidRPr="00EC20F8">
        <w:rPr>
          <w:rFonts w:ascii="Times New Roman" w:hAnsi="Times New Roman" w:cs="Times New Roman"/>
          <w:sz w:val="28"/>
          <w:szCs w:val="28"/>
        </w:rPr>
        <w:t>%</w:t>
      </w:r>
      <w:r w:rsidRPr="00EC20F8">
        <w:rPr>
          <w:rFonts w:ascii="Times New Roman" w:hAnsi="Times New Roman" w:cs="Times New Roman"/>
          <w:sz w:val="28"/>
          <w:szCs w:val="28"/>
        </w:rPr>
        <w:t xml:space="preserve"> от общего объема расходов бюджета городского округа, в прогнозируемом периоде доля затрат на жилищно-коммунальное хозяйство варьируется в диапазоне от 23,</w:t>
      </w:r>
      <w:r w:rsidR="001B413D" w:rsidRPr="00EC20F8">
        <w:rPr>
          <w:rFonts w:ascii="Times New Roman" w:hAnsi="Times New Roman" w:cs="Times New Roman"/>
          <w:sz w:val="28"/>
          <w:szCs w:val="28"/>
        </w:rPr>
        <w:t>9</w:t>
      </w:r>
      <w:r w:rsidRPr="00EC20F8">
        <w:rPr>
          <w:rFonts w:ascii="Times New Roman" w:hAnsi="Times New Roman" w:cs="Times New Roman"/>
          <w:sz w:val="28"/>
          <w:szCs w:val="28"/>
        </w:rPr>
        <w:t xml:space="preserve"> </w:t>
      </w:r>
      <w:r w:rsidR="00E97AE5" w:rsidRPr="00EC20F8">
        <w:rPr>
          <w:rFonts w:ascii="Times New Roman" w:hAnsi="Times New Roman" w:cs="Times New Roman"/>
          <w:sz w:val="28"/>
          <w:szCs w:val="28"/>
        </w:rPr>
        <w:t>%</w:t>
      </w:r>
      <w:r w:rsidRPr="00EC20F8">
        <w:rPr>
          <w:rFonts w:ascii="Times New Roman" w:hAnsi="Times New Roman" w:cs="Times New Roman"/>
          <w:sz w:val="28"/>
          <w:szCs w:val="28"/>
        </w:rPr>
        <w:t xml:space="preserve"> в 2015 году до 22,</w:t>
      </w:r>
      <w:r w:rsidR="001B413D" w:rsidRPr="00EC20F8">
        <w:rPr>
          <w:rFonts w:ascii="Times New Roman" w:hAnsi="Times New Roman" w:cs="Times New Roman"/>
          <w:sz w:val="28"/>
          <w:szCs w:val="28"/>
        </w:rPr>
        <w:t>3</w:t>
      </w:r>
      <w:r w:rsidRPr="00EC20F8">
        <w:rPr>
          <w:rFonts w:ascii="Times New Roman" w:hAnsi="Times New Roman" w:cs="Times New Roman"/>
          <w:sz w:val="28"/>
          <w:szCs w:val="28"/>
        </w:rPr>
        <w:t> </w:t>
      </w:r>
      <w:r w:rsidR="00E97AE5" w:rsidRPr="00EC20F8">
        <w:rPr>
          <w:rFonts w:ascii="Times New Roman" w:hAnsi="Times New Roman" w:cs="Times New Roman"/>
          <w:sz w:val="28"/>
          <w:szCs w:val="28"/>
        </w:rPr>
        <w:t>%</w:t>
      </w:r>
      <w:r w:rsidRPr="00EC20F8">
        <w:rPr>
          <w:rFonts w:ascii="Times New Roman" w:hAnsi="Times New Roman" w:cs="Times New Roman"/>
          <w:sz w:val="28"/>
          <w:szCs w:val="28"/>
        </w:rPr>
        <w:t xml:space="preserve"> в 2017 году. </w:t>
      </w:r>
      <w:proofErr w:type="gramEnd"/>
    </w:p>
    <w:p w:rsidR="004871C3" w:rsidRPr="00EC20F8" w:rsidRDefault="004871C3" w:rsidP="004871C3">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В дальнейшем, оценка плановых показателей поступлений в доходную и расходную часть бюджета </w:t>
      </w:r>
      <w:proofErr w:type="gramStart"/>
      <w:r w:rsidRPr="00EC20F8">
        <w:rPr>
          <w:rFonts w:ascii="Times New Roman" w:hAnsi="Times New Roman" w:cs="Times New Roman"/>
          <w:sz w:val="28"/>
          <w:szCs w:val="28"/>
        </w:rPr>
        <w:t>Петропавловск-Камчатского</w:t>
      </w:r>
      <w:proofErr w:type="gramEnd"/>
      <w:r w:rsidRPr="00EC20F8">
        <w:rPr>
          <w:rFonts w:ascii="Times New Roman" w:hAnsi="Times New Roman" w:cs="Times New Roman"/>
          <w:sz w:val="28"/>
          <w:szCs w:val="28"/>
        </w:rPr>
        <w:t xml:space="preserve"> городского округа будет корректироваться в случаях:</w:t>
      </w:r>
    </w:p>
    <w:p w:rsidR="004871C3" w:rsidRPr="00EC20F8" w:rsidRDefault="004871C3" w:rsidP="004871C3">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изменения объемов безвозмездных поступлений в бюджет </w:t>
      </w:r>
      <w:proofErr w:type="gramStart"/>
      <w:r w:rsidRPr="00EC20F8">
        <w:rPr>
          <w:rFonts w:ascii="Times New Roman" w:hAnsi="Times New Roman" w:cs="Times New Roman"/>
          <w:sz w:val="28"/>
          <w:szCs w:val="28"/>
        </w:rPr>
        <w:t>Петропавловск-Камчатского</w:t>
      </w:r>
      <w:proofErr w:type="gramEnd"/>
      <w:r w:rsidRPr="00EC20F8">
        <w:rPr>
          <w:rFonts w:ascii="Times New Roman" w:hAnsi="Times New Roman" w:cs="Times New Roman"/>
          <w:sz w:val="28"/>
          <w:szCs w:val="28"/>
        </w:rPr>
        <w:t xml:space="preserve"> городского округа;</w:t>
      </w:r>
    </w:p>
    <w:p w:rsidR="004871C3" w:rsidRPr="00EC20F8" w:rsidRDefault="004871C3" w:rsidP="004871C3">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изменений плановых показателей поступлений ИФНС на 2014 год и, соответственно, на 2015-2017 годы; </w:t>
      </w:r>
    </w:p>
    <w:p w:rsidR="004871C3" w:rsidRPr="00EC20F8" w:rsidRDefault="004871C3" w:rsidP="004871C3">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уточнений и корректировок администраторами видов доходов </w:t>
      </w:r>
      <w:proofErr w:type="gramStart"/>
      <w:r w:rsidRPr="00EC20F8">
        <w:rPr>
          <w:rFonts w:ascii="Times New Roman" w:hAnsi="Times New Roman" w:cs="Times New Roman"/>
          <w:sz w:val="28"/>
          <w:szCs w:val="28"/>
        </w:rPr>
        <w:t>Петропавловск-Камчатского</w:t>
      </w:r>
      <w:proofErr w:type="gramEnd"/>
      <w:r w:rsidRPr="00EC20F8">
        <w:rPr>
          <w:rFonts w:ascii="Times New Roman" w:hAnsi="Times New Roman" w:cs="Times New Roman"/>
          <w:sz w:val="28"/>
          <w:szCs w:val="28"/>
        </w:rPr>
        <w:t xml:space="preserve"> городского округа.</w:t>
      </w:r>
    </w:p>
    <w:p w:rsidR="004871C3" w:rsidRPr="00EC20F8" w:rsidRDefault="004871C3" w:rsidP="006328B7">
      <w:pPr>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По сравнению с ранее утвержденными параметрами прогноза социально-экономического развития, изменение параметров прогноза по доходам и расходам скорректировано с учетом изменений бюджетного законодательства с 01.01.2014</w:t>
      </w:r>
      <w:r w:rsidR="00A25268" w:rsidRPr="00EC20F8">
        <w:rPr>
          <w:rFonts w:ascii="Times New Roman" w:hAnsi="Times New Roman" w:cs="Times New Roman"/>
          <w:sz w:val="28"/>
          <w:szCs w:val="28"/>
        </w:rPr>
        <w:t xml:space="preserve"> года</w:t>
      </w:r>
      <w:r w:rsidRPr="00EC20F8">
        <w:rPr>
          <w:rFonts w:ascii="Times New Roman" w:hAnsi="Times New Roman" w:cs="Times New Roman"/>
          <w:sz w:val="28"/>
          <w:szCs w:val="28"/>
        </w:rPr>
        <w:t xml:space="preserve"> и с учетом фактического исполнения плановых показателей поступлений доходов в бюджет Петропавловск-Камчатского городского округа в 2014 году, являющихся базой для расчета показателей на 2015 год и плановый период 2016 и 2017 годов. </w:t>
      </w:r>
      <w:proofErr w:type="gramEnd"/>
    </w:p>
    <w:p w:rsidR="006328B7" w:rsidRPr="00EC20F8" w:rsidRDefault="00A25268" w:rsidP="006328B7">
      <w:pPr>
        <w:ind w:firstLine="709"/>
        <w:jc w:val="both"/>
        <w:rPr>
          <w:rFonts w:ascii="Times New Roman" w:hAnsi="Times New Roman" w:cs="Times New Roman"/>
          <w:sz w:val="28"/>
          <w:szCs w:val="28"/>
        </w:rPr>
      </w:pPr>
      <w:bookmarkStart w:id="112" w:name="_Toc368988910"/>
      <w:proofErr w:type="gramStart"/>
      <w:r w:rsidRPr="00EC20F8">
        <w:rPr>
          <w:rFonts w:ascii="Times New Roman" w:hAnsi="Times New Roman" w:cs="Times New Roman"/>
          <w:sz w:val="28"/>
          <w:szCs w:val="28"/>
        </w:rPr>
        <w:t>В целях обеспечения долгосрочной сбалансированности и устойчивости бюджета городского округа, обеспечения стабильности, предсказуемости и преемственности бюджетной политики разработана и будет реализовываться в 2015-2017 годах муниципальная программа «</w:t>
      </w:r>
      <w:r w:rsidR="006328B7" w:rsidRPr="00EC20F8">
        <w:rPr>
          <w:rFonts w:ascii="Times New Roman" w:hAnsi="Times New Roman" w:cs="Times New Roman"/>
          <w:sz w:val="28"/>
          <w:szCs w:val="28"/>
        </w:rPr>
        <w:t xml:space="preserve">Управление муниципальными финансами </w:t>
      </w:r>
      <w:proofErr w:type="spellStart"/>
      <w:r w:rsidR="006328B7" w:rsidRPr="00EC20F8">
        <w:rPr>
          <w:rFonts w:ascii="Times New Roman" w:hAnsi="Times New Roman" w:cs="Times New Roman"/>
          <w:sz w:val="28"/>
          <w:szCs w:val="28"/>
        </w:rPr>
        <w:t>Петропавловск-Камчатского</w:t>
      </w:r>
      <w:proofErr w:type="spellEnd"/>
      <w:r w:rsidR="006328B7" w:rsidRPr="00EC20F8">
        <w:rPr>
          <w:rFonts w:ascii="Times New Roman" w:hAnsi="Times New Roman" w:cs="Times New Roman"/>
          <w:sz w:val="28"/>
          <w:szCs w:val="28"/>
        </w:rPr>
        <w:t xml:space="preserve"> городского округа на 2015-2017 годы»</w:t>
      </w:r>
      <w:r w:rsidR="00CB61DE" w:rsidRPr="00EC20F8">
        <w:rPr>
          <w:rFonts w:ascii="Times New Roman" w:hAnsi="Times New Roman" w:cs="Times New Roman"/>
          <w:sz w:val="28"/>
          <w:szCs w:val="28"/>
        </w:rPr>
        <w:t>.</w:t>
      </w:r>
      <w:proofErr w:type="gramEnd"/>
    </w:p>
    <w:p w:rsidR="00A25268" w:rsidRPr="00EC20F8" w:rsidRDefault="00A25268" w:rsidP="006328B7">
      <w:pPr>
        <w:spacing w:line="240" w:lineRule="auto"/>
        <w:ind w:firstLine="709"/>
        <w:jc w:val="both"/>
      </w:pPr>
      <w:r w:rsidRPr="00EC20F8">
        <w:rPr>
          <w:rFonts w:ascii="Times New Roman" w:hAnsi="Times New Roman" w:cs="Times New Roman"/>
          <w:sz w:val="28"/>
          <w:szCs w:val="28"/>
        </w:rPr>
        <w:t xml:space="preserve"> </w:t>
      </w:r>
    </w:p>
    <w:p w:rsidR="00CF2F32" w:rsidRPr="00EC20F8" w:rsidRDefault="00CF2F32" w:rsidP="00CF2F32">
      <w:pPr>
        <w:pStyle w:val="1"/>
        <w:ind w:firstLine="709"/>
      </w:pPr>
      <w:bookmarkStart w:id="113" w:name="_Toc400529681"/>
      <w:r w:rsidRPr="00EC20F8">
        <w:t>18. Управление муниципальным имуществом</w:t>
      </w:r>
      <w:bookmarkEnd w:id="112"/>
      <w:bookmarkEnd w:id="113"/>
    </w:p>
    <w:p w:rsidR="00CF2F32" w:rsidRPr="00EC20F8" w:rsidRDefault="00CF2F32" w:rsidP="00CF2F32"/>
    <w:p w:rsidR="00CF2F32" w:rsidRPr="00EC20F8" w:rsidRDefault="00CF2F32" w:rsidP="00CF2F32">
      <w:pPr>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Основными направлениями в сфере управления муниципальным имущественным комплексом городского округа на среднесрочный период являются оптимизация структуры муниципальных унитарных предприятий, повышение эффективности деятельности предприятий и пополнение бюджета городского округа за счет части прибыли, полученной от их деятельности; повышение эффективности деятельности муниципальных учреждений в целях повышения качества предоставляемых ими услуг и снижения расходов бюджета городского округа;</w:t>
      </w:r>
      <w:proofErr w:type="gramEnd"/>
      <w:r w:rsidRPr="00EC20F8">
        <w:rPr>
          <w:rFonts w:ascii="Times New Roman" w:hAnsi="Times New Roman" w:cs="Times New Roman"/>
          <w:sz w:val="28"/>
          <w:szCs w:val="28"/>
        </w:rPr>
        <w:t xml:space="preserve"> </w:t>
      </w:r>
      <w:proofErr w:type="gramStart"/>
      <w:r w:rsidRPr="00EC20F8">
        <w:rPr>
          <w:rFonts w:ascii="Times New Roman" w:hAnsi="Times New Roman" w:cs="Times New Roman"/>
          <w:sz w:val="28"/>
          <w:szCs w:val="28"/>
        </w:rPr>
        <w:t xml:space="preserve">совершенствование порядка управления объектами муниципальной недвижимости с целью оптимизации их структуры и сокращения доли неиспользуемых объектов, </w:t>
      </w:r>
      <w:r w:rsidRPr="00EC20F8">
        <w:rPr>
          <w:rFonts w:ascii="Times New Roman" w:hAnsi="Times New Roman" w:cs="Times New Roman"/>
          <w:spacing w:val="7"/>
          <w:sz w:val="28"/>
          <w:szCs w:val="28"/>
        </w:rPr>
        <w:t xml:space="preserve">обеспечение доходности от использования объектов </w:t>
      </w:r>
      <w:r w:rsidRPr="00EC20F8">
        <w:rPr>
          <w:rFonts w:ascii="Times New Roman" w:hAnsi="Times New Roman" w:cs="Times New Roman"/>
          <w:sz w:val="28"/>
          <w:szCs w:val="28"/>
        </w:rPr>
        <w:t xml:space="preserve">муниципальной недвижимости </w:t>
      </w:r>
      <w:r w:rsidRPr="00EC20F8">
        <w:rPr>
          <w:rFonts w:ascii="Times New Roman" w:hAnsi="Times New Roman" w:cs="Times New Roman"/>
          <w:spacing w:val="2"/>
          <w:sz w:val="28"/>
          <w:szCs w:val="28"/>
        </w:rPr>
        <w:t xml:space="preserve">в условиях постоянного уменьшения их количества; </w:t>
      </w:r>
      <w:r w:rsidRPr="00EC20F8">
        <w:rPr>
          <w:rFonts w:ascii="Times New Roman" w:hAnsi="Times New Roman" w:cs="Times New Roman"/>
          <w:sz w:val="28"/>
          <w:szCs w:val="28"/>
        </w:rPr>
        <w:t>реализация единой государственной политики в сфере приватизации объектов муниципального имущества городского округа и пополнение бюджета городского округа за счет доходов от приватизации.</w:t>
      </w:r>
      <w:proofErr w:type="gramEnd"/>
    </w:p>
    <w:p w:rsidR="00CF2F32" w:rsidRPr="00EC20F8" w:rsidRDefault="00CF2F32" w:rsidP="00CF2F32">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В муниципальной собственности городского округа по состоянию на 01.01.2014 находится имущество общей балансовой стоимостью 21 308,0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и остаточной стоимостью 14 372,0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в том числе: </w:t>
      </w:r>
    </w:p>
    <w:p w:rsidR="00CF2F32" w:rsidRPr="00EC20F8" w:rsidRDefault="00CF2F32" w:rsidP="00CF2F32">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имущество, закрепленное за муниципальными учреждениями и органами местного самоуправления на праве оперативного управления, за </w:t>
      </w:r>
      <w:r w:rsidRPr="00EC20F8">
        <w:rPr>
          <w:rFonts w:ascii="Times New Roman" w:hAnsi="Times New Roman" w:cs="Times New Roman"/>
          <w:bCs/>
          <w:sz w:val="28"/>
          <w:szCs w:val="28"/>
        </w:rPr>
        <w:t xml:space="preserve">муниципальными унитарными предприятиями на праве </w:t>
      </w:r>
      <w:r w:rsidRPr="00EC20F8">
        <w:rPr>
          <w:rFonts w:ascii="Times New Roman" w:hAnsi="Times New Roman" w:cs="Times New Roman"/>
          <w:sz w:val="28"/>
          <w:szCs w:val="28"/>
        </w:rPr>
        <w:t>хозяйственного ведения общей балансовой стоимостью 11 206,6 млн</w:t>
      </w:r>
      <w:proofErr w:type="gramStart"/>
      <w:r w:rsidRPr="00EC20F8">
        <w:rPr>
          <w:rFonts w:ascii="Times New Roman" w:hAnsi="Times New Roman" w:cs="Times New Roman"/>
          <w:sz w:val="28"/>
          <w:szCs w:val="28"/>
        </w:rPr>
        <w:t>.р</w:t>
      </w:r>
      <w:proofErr w:type="gramEnd"/>
      <w:r w:rsidRPr="00EC20F8">
        <w:rPr>
          <w:rFonts w:ascii="Times New Roman" w:hAnsi="Times New Roman" w:cs="Times New Roman"/>
          <w:sz w:val="28"/>
          <w:szCs w:val="28"/>
        </w:rPr>
        <w:t xml:space="preserve">ублей и остаточной стоимостью 7 025,77 млн.рублей; </w:t>
      </w:r>
    </w:p>
    <w:p w:rsidR="00CF2F32" w:rsidRPr="00EC20F8" w:rsidRDefault="00CF2F32" w:rsidP="00CF2F32">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имущество муниципальной имущественной казны общей балансовой стоимостью 10 101,41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и остаточной стоимостью </w:t>
      </w:r>
      <w:r w:rsidR="0019197A" w:rsidRPr="00EC20F8">
        <w:rPr>
          <w:rFonts w:ascii="Times New Roman" w:hAnsi="Times New Roman" w:cs="Times New Roman"/>
          <w:sz w:val="28"/>
          <w:szCs w:val="28"/>
        </w:rPr>
        <w:t>7 346,23</w:t>
      </w:r>
      <w:r w:rsidRPr="00EC20F8">
        <w:rPr>
          <w:rFonts w:ascii="Times New Roman" w:hAnsi="Times New Roman" w:cs="Times New Roman"/>
          <w:sz w:val="28"/>
          <w:szCs w:val="28"/>
        </w:rPr>
        <w:t xml:space="preserve">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в том числе 100 % пакеты акций в уставных капиталах 7 </w:t>
      </w:r>
      <w:r w:rsidRPr="00EC20F8">
        <w:rPr>
          <w:rFonts w:ascii="Times New Roman" w:hAnsi="Times New Roman" w:cs="Times New Roman"/>
          <w:bCs/>
          <w:sz w:val="28"/>
          <w:szCs w:val="28"/>
        </w:rPr>
        <w:t>хозяйственных</w:t>
      </w:r>
      <w:r w:rsidRPr="00EC20F8">
        <w:rPr>
          <w:rFonts w:ascii="Times New Roman" w:hAnsi="Times New Roman" w:cs="Times New Roman"/>
          <w:sz w:val="28"/>
          <w:szCs w:val="28"/>
        </w:rPr>
        <w:t xml:space="preserve"> обществ номинальной стоимостью 480,02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w:t>
      </w:r>
    </w:p>
    <w:p w:rsidR="00CF2F32" w:rsidRPr="00EC20F8" w:rsidRDefault="00CF2F32" w:rsidP="00CF2F32">
      <w:pPr>
        <w:pStyle w:val="23"/>
        <w:spacing w:after="0" w:line="240" w:lineRule="auto"/>
        <w:ind w:left="0" w:firstLine="709"/>
        <w:jc w:val="both"/>
        <w:rPr>
          <w:rFonts w:ascii="Times New Roman" w:hAnsi="Times New Roman" w:cs="Times New Roman"/>
          <w:sz w:val="28"/>
          <w:szCs w:val="28"/>
        </w:rPr>
      </w:pPr>
      <w:r w:rsidRPr="00EC20F8">
        <w:rPr>
          <w:rFonts w:ascii="Times New Roman" w:hAnsi="Times New Roman" w:cs="Times New Roman"/>
          <w:sz w:val="28"/>
          <w:szCs w:val="28"/>
        </w:rPr>
        <w:t>В 1 полугодии 2014 года в муниципальную собственность городского округа принято 34 объекта недвижимости. Планируется и далее совершенствовать  работу по ведению Реестра и учету муниципального имущества, производить инвентаризацию инженерных сетей тепл</w:t>
      </w:r>
      <w:proofErr w:type="gramStart"/>
      <w:r w:rsidRPr="00EC20F8">
        <w:rPr>
          <w:rFonts w:ascii="Times New Roman" w:hAnsi="Times New Roman" w:cs="Times New Roman"/>
          <w:sz w:val="28"/>
          <w:szCs w:val="28"/>
        </w:rPr>
        <w:t>о-</w:t>
      </w:r>
      <w:proofErr w:type="gramEnd"/>
      <w:r w:rsidRPr="00EC20F8">
        <w:rPr>
          <w:rFonts w:ascii="Times New Roman" w:hAnsi="Times New Roman" w:cs="Times New Roman"/>
          <w:sz w:val="28"/>
          <w:szCs w:val="28"/>
        </w:rPr>
        <w:t xml:space="preserve">, </w:t>
      </w:r>
      <w:proofErr w:type="spellStart"/>
      <w:r w:rsidRPr="00EC20F8">
        <w:rPr>
          <w:rFonts w:ascii="Times New Roman" w:hAnsi="Times New Roman" w:cs="Times New Roman"/>
          <w:sz w:val="28"/>
          <w:szCs w:val="28"/>
        </w:rPr>
        <w:t>водо</w:t>
      </w:r>
      <w:proofErr w:type="spellEnd"/>
      <w:r w:rsidRPr="00EC20F8">
        <w:rPr>
          <w:rFonts w:ascii="Times New Roman" w:hAnsi="Times New Roman" w:cs="Times New Roman"/>
          <w:sz w:val="28"/>
          <w:szCs w:val="28"/>
        </w:rPr>
        <w:t xml:space="preserve">-, </w:t>
      </w:r>
      <w:proofErr w:type="spellStart"/>
      <w:r w:rsidRPr="00EC20F8">
        <w:rPr>
          <w:rFonts w:ascii="Times New Roman" w:hAnsi="Times New Roman" w:cs="Times New Roman"/>
          <w:sz w:val="28"/>
          <w:szCs w:val="28"/>
        </w:rPr>
        <w:t>электро</w:t>
      </w:r>
      <w:proofErr w:type="spellEnd"/>
      <w:r w:rsidRPr="00EC20F8">
        <w:rPr>
          <w:rFonts w:ascii="Times New Roman" w:hAnsi="Times New Roman" w:cs="Times New Roman"/>
          <w:sz w:val="28"/>
          <w:szCs w:val="28"/>
        </w:rPr>
        <w:t>- снабжения и иных коммунальных объектов, автомобильных дорог, внутриквартальных проездов, зданий общежитий с учетом выделенных средств на эти цели.</w:t>
      </w:r>
    </w:p>
    <w:p w:rsidR="00CF2F32" w:rsidRPr="00EC20F8" w:rsidRDefault="00CF2F32" w:rsidP="00CF2F32">
      <w:pPr>
        <w:pStyle w:val="23"/>
        <w:spacing w:after="0" w:line="240" w:lineRule="auto"/>
        <w:ind w:left="0"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По состоянию на 01 июля 2014 года в городском округе насчитывается 12 муниципальных унитарных предприятий, из которых 8 предприятий являются действующими; 4 предприятия находятся в стадии ликвидации (на различных стадиях процедуры банкротства). </w:t>
      </w:r>
    </w:p>
    <w:p w:rsidR="00CF2F32" w:rsidRPr="00EC20F8" w:rsidRDefault="00CF2F32" w:rsidP="00CF2F32">
      <w:pPr>
        <w:pStyle w:val="ConsPlusNormal"/>
        <w:keepNext/>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По результатам финансово-хозяйственной деятельности муниципальных унитарных предприятий за </w:t>
      </w:r>
      <w:r w:rsidRPr="00EC20F8">
        <w:rPr>
          <w:rFonts w:ascii="Times New Roman" w:hAnsi="Times New Roman" w:cs="Times New Roman"/>
          <w:sz w:val="28"/>
          <w:szCs w:val="28"/>
          <w:lang w:val="en-US"/>
        </w:rPr>
        <w:t>I</w:t>
      </w:r>
      <w:r w:rsidRPr="00EC20F8">
        <w:rPr>
          <w:rFonts w:ascii="Times New Roman" w:hAnsi="Times New Roman" w:cs="Times New Roman"/>
          <w:sz w:val="28"/>
          <w:szCs w:val="28"/>
        </w:rPr>
        <w:t xml:space="preserve"> квартал 2014 года </w:t>
      </w:r>
      <w:r w:rsidR="00F4778D" w:rsidRPr="00EC20F8">
        <w:rPr>
          <w:rFonts w:ascii="Times New Roman" w:hAnsi="Times New Roman" w:cs="Times New Roman"/>
          <w:sz w:val="28"/>
          <w:szCs w:val="28"/>
        </w:rPr>
        <w:t xml:space="preserve">получена прибыль до налогообложения </w:t>
      </w:r>
      <w:r w:rsidRPr="00EC20F8">
        <w:rPr>
          <w:rFonts w:ascii="Times New Roman" w:hAnsi="Times New Roman" w:cs="Times New Roman"/>
          <w:sz w:val="28"/>
          <w:szCs w:val="28"/>
        </w:rPr>
        <w:t xml:space="preserve"> </w:t>
      </w:r>
      <w:r w:rsidR="00F4778D" w:rsidRPr="00EC20F8">
        <w:rPr>
          <w:rFonts w:ascii="Times New Roman" w:hAnsi="Times New Roman" w:cs="Times New Roman"/>
          <w:sz w:val="28"/>
          <w:szCs w:val="28"/>
        </w:rPr>
        <w:t xml:space="preserve">в сумме 4 902,9 тысяч рублей. </w:t>
      </w:r>
      <w:r w:rsidRPr="00EC20F8">
        <w:rPr>
          <w:rFonts w:ascii="Times New Roman" w:hAnsi="Times New Roman" w:cs="Times New Roman"/>
          <w:sz w:val="28"/>
          <w:szCs w:val="28"/>
        </w:rPr>
        <w:t xml:space="preserve">Основная сумма прибыли </w:t>
      </w:r>
      <w:r w:rsidR="00F4778D" w:rsidRPr="00EC20F8">
        <w:rPr>
          <w:rFonts w:ascii="Times New Roman" w:hAnsi="Times New Roman" w:cs="Times New Roman"/>
          <w:sz w:val="28"/>
          <w:szCs w:val="28"/>
        </w:rPr>
        <w:t xml:space="preserve">(4 781,9 тысяч рублей) </w:t>
      </w:r>
      <w:r w:rsidRPr="00EC20F8">
        <w:rPr>
          <w:rFonts w:ascii="Times New Roman" w:hAnsi="Times New Roman" w:cs="Times New Roman"/>
          <w:sz w:val="28"/>
          <w:szCs w:val="28"/>
        </w:rPr>
        <w:t>получен</w:t>
      </w:r>
      <w:r w:rsidR="0019197A" w:rsidRPr="00EC20F8">
        <w:rPr>
          <w:rFonts w:ascii="Times New Roman" w:hAnsi="Times New Roman" w:cs="Times New Roman"/>
          <w:sz w:val="28"/>
          <w:szCs w:val="28"/>
        </w:rPr>
        <w:t>а</w:t>
      </w:r>
      <w:r w:rsidRPr="00EC20F8">
        <w:rPr>
          <w:rFonts w:ascii="Times New Roman" w:hAnsi="Times New Roman" w:cs="Times New Roman"/>
          <w:sz w:val="28"/>
          <w:szCs w:val="28"/>
        </w:rPr>
        <w:t xml:space="preserve"> муниципальны</w:t>
      </w:r>
      <w:r w:rsidR="0019197A" w:rsidRPr="00EC20F8">
        <w:rPr>
          <w:rFonts w:ascii="Times New Roman" w:hAnsi="Times New Roman" w:cs="Times New Roman"/>
          <w:sz w:val="28"/>
          <w:szCs w:val="28"/>
        </w:rPr>
        <w:t>ми</w:t>
      </w:r>
      <w:r w:rsidRPr="00EC20F8">
        <w:rPr>
          <w:rFonts w:ascii="Times New Roman" w:hAnsi="Times New Roman" w:cs="Times New Roman"/>
          <w:sz w:val="28"/>
          <w:szCs w:val="28"/>
        </w:rPr>
        <w:t xml:space="preserve"> унитарны</w:t>
      </w:r>
      <w:r w:rsidR="0019197A" w:rsidRPr="00EC20F8">
        <w:rPr>
          <w:rFonts w:ascii="Times New Roman" w:hAnsi="Times New Roman" w:cs="Times New Roman"/>
          <w:sz w:val="28"/>
          <w:szCs w:val="28"/>
        </w:rPr>
        <w:t>ми</w:t>
      </w:r>
      <w:r w:rsidRPr="00EC20F8">
        <w:rPr>
          <w:rFonts w:ascii="Times New Roman" w:hAnsi="Times New Roman" w:cs="Times New Roman"/>
          <w:sz w:val="28"/>
          <w:szCs w:val="28"/>
        </w:rPr>
        <w:t xml:space="preserve"> предприяти</w:t>
      </w:r>
      <w:r w:rsidR="0019197A" w:rsidRPr="00EC20F8">
        <w:rPr>
          <w:rFonts w:ascii="Times New Roman" w:hAnsi="Times New Roman" w:cs="Times New Roman"/>
          <w:sz w:val="28"/>
          <w:szCs w:val="28"/>
        </w:rPr>
        <w:t>ями</w:t>
      </w:r>
      <w:r w:rsidRPr="00EC20F8">
        <w:rPr>
          <w:rFonts w:ascii="Times New Roman" w:hAnsi="Times New Roman" w:cs="Times New Roman"/>
          <w:sz w:val="28"/>
          <w:szCs w:val="28"/>
        </w:rPr>
        <w:t xml:space="preserve"> по виду деятельности </w:t>
      </w:r>
      <w:r w:rsidR="0019197A" w:rsidRPr="00EC20F8">
        <w:rPr>
          <w:rFonts w:ascii="Times New Roman" w:hAnsi="Times New Roman" w:cs="Times New Roman"/>
          <w:sz w:val="28"/>
          <w:szCs w:val="28"/>
        </w:rPr>
        <w:t>«</w:t>
      </w:r>
      <w:r w:rsidRPr="00EC20F8">
        <w:rPr>
          <w:rFonts w:ascii="Times New Roman" w:hAnsi="Times New Roman" w:cs="Times New Roman"/>
          <w:sz w:val="28"/>
          <w:szCs w:val="28"/>
        </w:rPr>
        <w:t>предоставление прочих коммунальных, социальных и персональных услуг</w:t>
      </w:r>
      <w:r w:rsidR="0019197A" w:rsidRPr="00EC20F8">
        <w:rPr>
          <w:rFonts w:ascii="Times New Roman" w:hAnsi="Times New Roman" w:cs="Times New Roman"/>
          <w:sz w:val="28"/>
          <w:szCs w:val="28"/>
        </w:rPr>
        <w:t>»</w:t>
      </w:r>
      <w:r w:rsidRPr="00EC20F8">
        <w:rPr>
          <w:rFonts w:ascii="Times New Roman" w:hAnsi="Times New Roman" w:cs="Times New Roman"/>
          <w:sz w:val="28"/>
          <w:szCs w:val="28"/>
        </w:rPr>
        <w:t xml:space="preserve"> (МУП "Лотос-М" и МУП "Автостоянка").</w:t>
      </w:r>
      <w:r w:rsidR="0019197A" w:rsidRPr="00EC20F8">
        <w:rPr>
          <w:rFonts w:ascii="Times New Roman" w:hAnsi="Times New Roman" w:cs="Times New Roman"/>
          <w:sz w:val="28"/>
          <w:szCs w:val="28"/>
        </w:rPr>
        <w:t xml:space="preserve"> </w:t>
      </w:r>
      <w:r w:rsidR="00F4778D" w:rsidRPr="00EC20F8">
        <w:rPr>
          <w:rFonts w:ascii="Times New Roman" w:hAnsi="Times New Roman" w:cs="Times New Roman"/>
          <w:sz w:val="28"/>
          <w:szCs w:val="28"/>
        </w:rPr>
        <w:t>Убытки сложились по МУП «Петропавловский водоканал», МУП «</w:t>
      </w:r>
      <w:proofErr w:type="spellStart"/>
      <w:r w:rsidR="00F4778D" w:rsidRPr="00EC20F8">
        <w:rPr>
          <w:rFonts w:ascii="Times New Roman" w:hAnsi="Times New Roman" w:cs="Times New Roman"/>
          <w:sz w:val="28"/>
          <w:szCs w:val="28"/>
        </w:rPr>
        <w:t>Спецтранс</w:t>
      </w:r>
      <w:proofErr w:type="spellEnd"/>
      <w:r w:rsidR="00F4778D" w:rsidRPr="00EC20F8">
        <w:rPr>
          <w:rFonts w:ascii="Times New Roman" w:hAnsi="Times New Roman" w:cs="Times New Roman"/>
          <w:sz w:val="28"/>
          <w:szCs w:val="28"/>
        </w:rPr>
        <w:t>», МУП «</w:t>
      </w:r>
      <w:proofErr w:type="spellStart"/>
      <w:r w:rsidR="00F4778D" w:rsidRPr="00EC20F8">
        <w:rPr>
          <w:rFonts w:ascii="Times New Roman" w:hAnsi="Times New Roman" w:cs="Times New Roman"/>
          <w:sz w:val="28"/>
          <w:szCs w:val="28"/>
        </w:rPr>
        <w:t>Спецдорремстрой</w:t>
      </w:r>
      <w:proofErr w:type="spellEnd"/>
      <w:r w:rsidR="00F4778D" w:rsidRPr="00EC20F8">
        <w:rPr>
          <w:rFonts w:ascii="Times New Roman" w:hAnsi="Times New Roman" w:cs="Times New Roman"/>
          <w:sz w:val="28"/>
          <w:szCs w:val="28"/>
        </w:rPr>
        <w:t>», МУП «</w:t>
      </w:r>
      <w:proofErr w:type="spellStart"/>
      <w:r w:rsidR="00F4778D" w:rsidRPr="00EC20F8">
        <w:rPr>
          <w:rFonts w:ascii="Times New Roman" w:hAnsi="Times New Roman" w:cs="Times New Roman"/>
          <w:sz w:val="28"/>
          <w:szCs w:val="28"/>
        </w:rPr>
        <w:t>Мебус</w:t>
      </w:r>
      <w:proofErr w:type="spellEnd"/>
      <w:r w:rsidR="00F4778D" w:rsidRPr="00EC20F8">
        <w:rPr>
          <w:rFonts w:ascii="Times New Roman" w:hAnsi="Times New Roman" w:cs="Times New Roman"/>
          <w:sz w:val="28"/>
          <w:szCs w:val="28"/>
        </w:rPr>
        <w:t>».</w:t>
      </w:r>
    </w:p>
    <w:p w:rsidR="00CF2F32" w:rsidRPr="00EC20F8" w:rsidRDefault="00CF2F32" w:rsidP="00CF2F32">
      <w:pPr>
        <w:pStyle w:val="23"/>
        <w:spacing w:after="0" w:line="240" w:lineRule="auto"/>
        <w:ind w:left="0" w:firstLine="709"/>
        <w:jc w:val="both"/>
        <w:rPr>
          <w:rFonts w:ascii="Times New Roman" w:hAnsi="Times New Roman" w:cs="Times New Roman"/>
          <w:strike/>
          <w:sz w:val="28"/>
          <w:szCs w:val="28"/>
        </w:rPr>
      </w:pPr>
      <w:r w:rsidRPr="00EC20F8">
        <w:rPr>
          <w:rFonts w:ascii="Times New Roman" w:hAnsi="Times New Roman" w:cs="Times New Roman"/>
          <w:sz w:val="28"/>
          <w:szCs w:val="28"/>
        </w:rPr>
        <w:t>По состоянию на 01 июля 2014 года общее количество муниципальны</w:t>
      </w:r>
      <w:r w:rsidR="00C27813" w:rsidRPr="00EC20F8">
        <w:rPr>
          <w:rFonts w:ascii="Times New Roman" w:hAnsi="Times New Roman" w:cs="Times New Roman"/>
          <w:sz w:val="28"/>
          <w:szCs w:val="28"/>
        </w:rPr>
        <w:t xml:space="preserve">х учреждений городского округа </w:t>
      </w:r>
      <w:r w:rsidRPr="00EC20F8">
        <w:rPr>
          <w:rFonts w:ascii="Times New Roman" w:hAnsi="Times New Roman" w:cs="Times New Roman"/>
          <w:sz w:val="28"/>
          <w:szCs w:val="28"/>
        </w:rPr>
        <w:t xml:space="preserve">составляет 141, из которых 99 учреждений образования, 13 учреждений культуры и спорта. </w:t>
      </w:r>
    </w:p>
    <w:p w:rsidR="00CF2F32" w:rsidRPr="00EC20F8" w:rsidRDefault="00CF2F32" w:rsidP="00CF2F32">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По состоянию на 01 июля 2014 года в собственности городско</w:t>
      </w:r>
      <w:r w:rsidR="00C27813" w:rsidRPr="00EC20F8">
        <w:rPr>
          <w:rFonts w:ascii="Times New Roman" w:hAnsi="Times New Roman" w:cs="Times New Roman"/>
          <w:sz w:val="28"/>
          <w:szCs w:val="28"/>
        </w:rPr>
        <w:t>го</w:t>
      </w:r>
      <w:r w:rsidRPr="00EC20F8">
        <w:rPr>
          <w:rFonts w:ascii="Times New Roman" w:hAnsi="Times New Roman" w:cs="Times New Roman"/>
          <w:sz w:val="28"/>
          <w:szCs w:val="28"/>
        </w:rPr>
        <w:t xml:space="preserve"> округ</w:t>
      </w:r>
      <w:r w:rsidR="00C27813" w:rsidRPr="00EC20F8">
        <w:rPr>
          <w:rFonts w:ascii="Times New Roman" w:hAnsi="Times New Roman" w:cs="Times New Roman"/>
          <w:sz w:val="28"/>
          <w:szCs w:val="28"/>
        </w:rPr>
        <w:t>а</w:t>
      </w:r>
      <w:r w:rsidRPr="00EC20F8">
        <w:rPr>
          <w:rFonts w:ascii="Times New Roman" w:hAnsi="Times New Roman" w:cs="Times New Roman"/>
          <w:sz w:val="28"/>
          <w:szCs w:val="28"/>
        </w:rPr>
        <w:t xml:space="preserve"> находят</w:t>
      </w:r>
      <w:r w:rsidR="00C27813" w:rsidRPr="00EC20F8">
        <w:rPr>
          <w:rFonts w:ascii="Times New Roman" w:hAnsi="Times New Roman" w:cs="Times New Roman"/>
          <w:sz w:val="28"/>
          <w:szCs w:val="28"/>
        </w:rPr>
        <w:t xml:space="preserve">ся </w:t>
      </w:r>
      <w:r w:rsidRPr="00EC20F8">
        <w:rPr>
          <w:rFonts w:ascii="Times New Roman" w:hAnsi="Times New Roman" w:cs="Times New Roman"/>
          <w:sz w:val="28"/>
          <w:szCs w:val="28"/>
        </w:rPr>
        <w:t xml:space="preserve">100 % пакеты акций 7 </w:t>
      </w:r>
      <w:r w:rsidRPr="00EC20F8">
        <w:rPr>
          <w:rFonts w:ascii="Times New Roman" w:hAnsi="Times New Roman" w:cs="Times New Roman"/>
          <w:bCs/>
          <w:sz w:val="28"/>
          <w:szCs w:val="28"/>
        </w:rPr>
        <w:t>хозяйственных</w:t>
      </w:r>
      <w:r w:rsidRPr="00EC20F8">
        <w:rPr>
          <w:rFonts w:ascii="Times New Roman" w:hAnsi="Times New Roman" w:cs="Times New Roman"/>
          <w:sz w:val="28"/>
          <w:szCs w:val="28"/>
        </w:rPr>
        <w:t xml:space="preserve"> обществ, из которых действующими являют ОАО «Столовая № 5», ОАО «Молокозавод Петропавловский», ОАО «Дирекция по эксплуатации зданий», ОАО «Единая городская недвижимость», ОАО «Городское автобусное предприятие - 4» и ОАО «Автопарк». Доходы от дивидендов, перечисленных  в бюджет открытыми акционерными обществами, в 2014 году составят по оценке 35 290,6 тысяч рублей. </w:t>
      </w:r>
    </w:p>
    <w:p w:rsidR="00CF2F32" w:rsidRPr="00EC20F8" w:rsidRDefault="00CF2F32" w:rsidP="00CF2F32">
      <w:pPr>
        <w:pStyle w:val="23"/>
        <w:spacing w:after="0" w:line="240" w:lineRule="auto"/>
        <w:ind w:left="0" w:firstLine="709"/>
        <w:jc w:val="both"/>
        <w:rPr>
          <w:rFonts w:ascii="Times New Roman" w:hAnsi="Times New Roman" w:cs="Times New Roman"/>
          <w:sz w:val="28"/>
          <w:szCs w:val="28"/>
        </w:rPr>
      </w:pPr>
      <w:r w:rsidRPr="00EC20F8">
        <w:rPr>
          <w:rFonts w:ascii="Times New Roman" w:hAnsi="Times New Roman" w:cs="Times New Roman"/>
          <w:sz w:val="28"/>
          <w:szCs w:val="28"/>
        </w:rPr>
        <w:t>В настоящее время количество муниципальных предприятий и организаций снижается, главным образом, за счет их ликвидации путем банкротства.</w:t>
      </w:r>
    </w:p>
    <w:p w:rsidR="00CF2F32" w:rsidRPr="00EC20F8" w:rsidRDefault="00CF2F32" w:rsidP="00CF2F32">
      <w:pPr>
        <w:pStyle w:val="23"/>
        <w:spacing w:after="0" w:line="240" w:lineRule="auto"/>
        <w:ind w:left="0" w:firstLine="709"/>
        <w:jc w:val="both"/>
        <w:rPr>
          <w:rFonts w:ascii="Times New Roman" w:hAnsi="Times New Roman" w:cs="Times New Roman"/>
          <w:sz w:val="28"/>
          <w:szCs w:val="28"/>
        </w:rPr>
      </w:pPr>
      <w:r w:rsidRPr="00EC20F8">
        <w:rPr>
          <w:rFonts w:ascii="Times New Roman" w:hAnsi="Times New Roman" w:cs="Times New Roman"/>
          <w:sz w:val="28"/>
          <w:szCs w:val="28"/>
        </w:rPr>
        <w:t>В июне 2014 года было исключено из Единого государственного реестра юридических лиц МУП «Горизонт». В течение 2014 года планируется завершение процедур банкротства МУП «Городское автобусное предприятие-2».</w:t>
      </w:r>
    </w:p>
    <w:p w:rsidR="00CB61DE" w:rsidRPr="00EC20F8" w:rsidRDefault="00CF2F32" w:rsidP="00CF2F32">
      <w:pPr>
        <w:pStyle w:val="23"/>
        <w:spacing w:after="0" w:line="240" w:lineRule="auto"/>
        <w:ind w:left="0" w:firstLine="709"/>
        <w:jc w:val="both"/>
        <w:rPr>
          <w:rFonts w:ascii="Times New Roman" w:hAnsi="Times New Roman" w:cs="Times New Roman"/>
          <w:sz w:val="28"/>
          <w:szCs w:val="28"/>
        </w:rPr>
      </w:pPr>
      <w:r w:rsidRPr="00EC20F8">
        <w:rPr>
          <w:rFonts w:ascii="Times New Roman" w:hAnsi="Times New Roman" w:cs="Times New Roman"/>
          <w:bCs/>
          <w:sz w:val="28"/>
          <w:szCs w:val="28"/>
        </w:rPr>
        <w:t xml:space="preserve">В среднесрочном периоде </w:t>
      </w:r>
      <w:r w:rsidRPr="00EC20F8">
        <w:rPr>
          <w:rFonts w:ascii="Times New Roman" w:hAnsi="Times New Roman" w:cs="Times New Roman"/>
          <w:sz w:val="28"/>
          <w:szCs w:val="28"/>
        </w:rPr>
        <w:t>будет осуществляться дальнейшая оптимизация структуры муниципальных унитарных предприятий. В 2015 году по первому варианту планируется завершение процедур банкротства двух муниципальных унитарных предприятий: «Горсеть» и «Лотос». По второго варианту - трех муниципальных унитарных предприятия: «Хариус-продукт», «</w:t>
      </w:r>
      <w:proofErr w:type="spellStart"/>
      <w:r w:rsidRPr="00EC20F8">
        <w:rPr>
          <w:rFonts w:ascii="Times New Roman" w:hAnsi="Times New Roman" w:cs="Times New Roman"/>
          <w:sz w:val="28"/>
          <w:szCs w:val="28"/>
        </w:rPr>
        <w:t>Горсеть</w:t>
      </w:r>
      <w:proofErr w:type="spellEnd"/>
      <w:r w:rsidRPr="00EC20F8">
        <w:rPr>
          <w:rFonts w:ascii="Times New Roman" w:hAnsi="Times New Roman" w:cs="Times New Roman"/>
          <w:sz w:val="28"/>
          <w:szCs w:val="28"/>
        </w:rPr>
        <w:t>» и «Лотос».</w:t>
      </w:r>
    </w:p>
    <w:p w:rsidR="00CF2F32" w:rsidRPr="00EC20F8" w:rsidRDefault="00CF2F32" w:rsidP="00CF2F32">
      <w:pPr>
        <w:pStyle w:val="23"/>
        <w:spacing w:after="0" w:line="240" w:lineRule="auto"/>
        <w:ind w:left="0"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Ведутся ликвидационные мероприятия в трех муниципальных учреждениях: </w:t>
      </w:r>
      <w:proofErr w:type="gramStart"/>
      <w:r w:rsidRPr="00EC20F8">
        <w:rPr>
          <w:rFonts w:ascii="Times New Roman" w:hAnsi="Times New Roman" w:cs="Times New Roman"/>
          <w:sz w:val="28"/>
          <w:szCs w:val="28"/>
        </w:rPr>
        <w:t>муниципальном автономном</w:t>
      </w:r>
      <w:proofErr w:type="gramEnd"/>
      <w:r w:rsidRPr="00EC20F8">
        <w:rPr>
          <w:rFonts w:ascii="Times New Roman" w:hAnsi="Times New Roman" w:cs="Times New Roman"/>
          <w:sz w:val="28"/>
          <w:szCs w:val="28"/>
        </w:rPr>
        <w:t xml:space="preserve"> учреждении «УЖКХ», муниципальном учреждении «Дирекция службы заказчика» и муниципальном учреждении «Управление культуры». Ожидается, что муниципальное учреждение «Управление культуры» будет ликвидировано до конца 2014 года.</w:t>
      </w:r>
    </w:p>
    <w:p w:rsidR="00CF2F32" w:rsidRPr="00EC20F8" w:rsidRDefault="00CF2F32" w:rsidP="00CF2F32">
      <w:pPr>
        <w:pStyle w:val="23"/>
        <w:spacing w:after="0" w:line="240" w:lineRule="auto"/>
        <w:ind w:left="0" w:firstLine="709"/>
        <w:jc w:val="both"/>
        <w:rPr>
          <w:rFonts w:ascii="Times New Roman" w:hAnsi="Times New Roman" w:cs="Times New Roman"/>
          <w:sz w:val="28"/>
          <w:szCs w:val="28"/>
        </w:rPr>
      </w:pPr>
      <w:proofErr w:type="gramStart"/>
      <w:r w:rsidRPr="00EC20F8">
        <w:rPr>
          <w:rFonts w:ascii="Times New Roman" w:hAnsi="Times New Roman" w:cs="Times New Roman"/>
          <w:b/>
          <w:i/>
          <w:sz w:val="28"/>
          <w:szCs w:val="28"/>
        </w:rPr>
        <w:t>На конец 2015 года</w:t>
      </w:r>
      <w:r w:rsidRPr="00EC20F8">
        <w:rPr>
          <w:rFonts w:ascii="Times New Roman" w:hAnsi="Times New Roman" w:cs="Times New Roman"/>
          <w:sz w:val="28"/>
          <w:szCs w:val="28"/>
        </w:rPr>
        <w:t xml:space="preserve"> ожидается, что на территории Петропавловск-Камчатского городского округа будут зарегистриро</w:t>
      </w:r>
      <w:r w:rsidR="00C27813" w:rsidRPr="00EC20F8">
        <w:rPr>
          <w:rFonts w:ascii="Times New Roman" w:hAnsi="Times New Roman" w:cs="Times New Roman"/>
          <w:sz w:val="28"/>
          <w:szCs w:val="28"/>
        </w:rPr>
        <w:t xml:space="preserve">вано </w:t>
      </w:r>
      <w:r w:rsidRPr="00EC20F8">
        <w:rPr>
          <w:rFonts w:ascii="Times New Roman" w:hAnsi="Times New Roman" w:cs="Times New Roman"/>
          <w:sz w:val="28"/>
          <w:szCs w:val="28"/>
        </w:rPr>
        <w:t>согласно первого (консервативно</w:t>
      </w:r>
      <w:r w:rsidR="00C27813" w:rsidRPr="00EC20F8">
        <w:rPr>
          <w:rFonts w:ascii="Times New Roman" w:hAnsi="Times New Roman" w:cs="Times New Roman"/>
          <w:sz w:val="28"/>
          <w:szCs w:val="28"/>
        </w:rPr>
        <w:t>го</w:t>
      </w:r>
      <w:r w:rsidRPr="00EC20F8">
        <w:rPr>
          <w:rFonts w:ascii="Times New Roman" w:hAnsi="Times New Roman" w:cs="Times New Roman"/>
          <w:sz w:val="28"/>
          <w:szCs w:val="28"/>
        </w:rPr>
        <w:t>) варианта прогноза 149 организаций муниципальной формы собственности, в том числе 140 муниципальных учреждений и 9 муниципальных предприятий, по второму варианту 148 организаций муниципальной формы собственности, в том числе 140 муниципальных учреждений и 8 муниципальных предприятий.</w:t>
      </w:r>
      <w:proofErr w:type="gramEnd"/>
    </w:p>
    <w:p w:rsidR="00CF2F32" w:rsidRPr="00EC20F8" w:rsidRDefault="00CF2F32" w:rsidP="00CF2F32">
      <w:pPr>
        <w:keepNext/>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По прогнозной оценке, с учетом </w:t>
      </w:r>
      <w:r w:rsidRPr="00EC20F8">
        <w:rPr>
          <w:rFonts w:ascii="Times New Roman" w:hAnsi="Times New Roman" w:cs="Times New Roman"/>
          <w:spacing w:val="-1"/>
          <w:sz w:val="28"/>
          <w:szCs w:val="28"/>
        </w:rPr>
        <w:t>прогнозных финансово-</w:t>
      </w:r>
      <w:r w:rsidRPr="00EC20F8">
        <w:rPr>
          <w:rFonts w:ascii="Times New Roman" w:hAnsi="Times New Roman" w:cs="Times New Roman"/>
          <w:sz w:val="28"/>
          <w:szCs w:val="28"/>
        </w:rPr>
        <w:t xml:space="preserve">экономических показателей деятельности предприятий, отчисления от прибыли муниципальных унитарных предприятий в бюджет городского округа составят: в 2014 году – 1 544,8 тысяч рублей; по первому варианту прогноза  </w:t>
      </w:r>
      <w:r w:rsidR="00C52735" w:rsidRPr="00EC20F8">
        <w:rPr>
          <w:rFonts w:ascii="Times New Roman" w:hAnsi="Times New Roman" w:cs="Times New Roman"/>
          <w:sz w:val="28"/>
          <w:szCs w:val="28"/>
        </w:rPr>
        <w:t xml:space="preserve">в 2015 году </w:t>
      </w:r>
      <w:r w:rsidR="00990E00" w:rsidRPr="00EC20F8">
        <w:rPr>
          <w:rFonts w:ascii="Times New Roman" w:hAnsi="Times New Roman" w:cs="Times New Roman"/>
          <w:sz w:val="28"/>
          <w:szCs w:val="28"/>
        </w:rPr>
        <w:t xml:space="preserve">– в сумме </w:t>
      </w:r>
      <w:r w:rsidRPr="00EC20F8">
        <w:rPr>
          <w:rFonts w:ascii="Times New Roman" w:hAnsi="Times New Roman" w:cs="Times New Roman"/>
          <w:sz w:val="28"/>
          <w:szCs w:val="28"/>
        </w:rPr>
        <w:t>2 113,7 тысяч рублей</w:t>
      </w:r>
      <w:r w:rsidR="00C52735" w:rsidRPr="00EC20F8">
        <w:rPr>
          <w:rFonts w:ascii="Times New Roman" w:hAnsi="Times New Roman" w:cs="Times New Roman"/>
          <w:sz w:val="28"/>
          <w:szCs w:val="28"/>
        </w:rPr>
        <w:t xml:space="preserve">, в 2016 году </w:t>
      </w:r>
      <w:r w:rsidR="00990E00" w:rsidRPr="00EC20F8">
        <w:rPr>
          <w:rFonts w:ascii="Times New Roman" w:hAnsi="Times New Roman" w:cs="Times New Roman"/>
          <w:sz w:val="28"/>
          <w:szCs w:val="28"/>
        </w:rPr>
        <w:t xml:space="preserve">– в сумме </w:t>
      </w:r>
      <w:r w:rsidR="00C52735" w:rsidRPr="00EC20F8">
        <w:rPr>
          <w:rFonts w:ascii="Times New Roman" w:hAnsi="Times New Roman" w:cs="Times New Roman"/>
          <w:sz w:val="28"/>
          <w:szCs w:val="28"/>
        </w:rPr>
        <w:t xml:space="preserve">2 113,7 тысяч рублей, </w:t>
      </w:r>
      <w:r w:rsidR="00990E00" w:rsidRPr="00EC20F8">
        <w:rPr>
          <w:rFonts w:ascii="Times New Roman" w:hAnsi="Times New Roman" w:cs="Times New Roman"/>
          <w:sz w:val="28"/>
          <w:szCs w:val="28"/>
        </w:rPr>
        <w:t xml:space="preserve">в 2017 году – в сумме </w:t>
      </w:r>
      <w:r w:rsidR="00C52735" w:rsidRPr="00EC20F8">
        <w:rPr>
          <w:rFonts w:ascii="Times New Roman" w:hAnsi="Times New Roman" w:cs="Times New Roman"/>
          <w:sz w:val="28"/>
          <w:szCs w:val="28"/>
        </w:rPr>
        <w:t>2 113,7 тысяч рублей</w:t>
      </w:r>
      <w:r w:rsidR="00990E00" w:rsidRPr="00EC20F8">
        <w:rPr>
          <w:rFonts w:ascii="Times New Roman" w:hAnsi="Times New Roman" w:cs="Times New Roman"/>
          <w:sz w:val="28"/>
          <w:szCs w:val="28"/>
        </w:rPr>
        <w:t>;</w:t>
      </w:r>
      <w:proofErr w:type="gramEnd"/>
      <w:r w:rsidR="00990E00" w:rsidRPr="00EC20F8">
        <w:rPr>
          <w:rFonts w:ascii="Times New Roman" w:hAnsi="Times New Roman" w:cs="Times New Roman"/>
          <w:sz w:val="28"/>
          <w:szCs w:val="28"/>
        </w:rPr>
        <w:t xml:space="preserve"> по второму варианту – в </w:t>
      </w:r>
      <w:r w:rsidRPr="00EC20F8">
        <w:rPr>
          <w:rFonts w:ascii="Times New Roman" w:hAnsi="Times New Roman" w:cs="Times New Roman"/>
          <w:sz w:val="28"/>
          <w:szCs w:val="28"/>
        </w:rPr>
        <w:t>2015 году – 6 873,5 тысяч рублей, в 2016 году – 6</w:t>
      </w:r>
      <w:r w:rsidR="00990E00" w:rsidRPr="00EC20F8">
        <w:rPr>
          <w:rFonts w:ascii="Times New Roman" w:hAnsi="Times New Roman" w:cs="Times New Roman"/>
          <w:sz w:val="28"/>
          <w:szCs w:val="28"/>
        </w:rPr>
        <w:t xml:space="preserve"> 880,5 тысяч рублей, </w:t>
      </w:r>
      <w:r w:rsidRPr="00EC20F8">
        <w:rPr>
          <w:rFonts w:ascii="Times New Roman" w:hAnsi="Times New Roman" w:cs="Times New Roman"/>
          <w:sz w:val="28"/>
          <w:szCs w:val="28"/>
        </w:rPr>
        <w:t>2017 году – 6 880,5 тысяч рублей.</w:t>
      </w:r>
    </w:p>
    <w:p w:rsidR="00CF2F32" w:rsidRPr="00EC20F8" w:rsidRDefault="00CF2F32" w:rsidP="00CF2F32">
      <w:pPr>
        <w:spacing w:line="240" w:lineRule="auto"/>
        <w:ind w:firstLine="709"/>
        <w:jc w:val="both"/>
        <w:outlineLvl w:val="1"/>
        <w:rPr>
          <w:rFonts w:ascii="Times New Roman" w:hAnsi="Times New Roman" w:cs="Times New Roman"/>
          <w:sz w:val="28"/>
          <w:szCs w:val="28"/>
        </w:rPr>
      </w:pPr>
      <w:r w:rsidRPr="00EC20F8">
        <w:rPr>
          <w:rFonts w:ascii="Times New Roman" w:hAnsi="Times New Roman" w:cs="Times New Roman"/>
          <w:b/>
          <w:i/>
          <w:sz w:val="28"/>
          <w:szCs w:val="28"/>
        </w:rPr>
        <w:t>В</w:t>
      </w:r>
      <w:r w:rsidRPr="00EC20F8">
        <w:rPr>
          <w:rFonts w:ascii="Times New Roman" w:hAnsi="Times New Roman" w:cs="Times New Roman"/>
          <w:b/>
          <w:bCs/>
          <w:i/>
          <w:sz w:val="28"/>
          <w:szCs w:val="28"/>
        </w:rPr>
        <w:t xml:space="preserve"> 2015–2017 годах</w:t>
      </w:r>
      <w:r w:rsidRPr="00EC20F8">
        <w:rPr>
          <w:rFonts w:ascii="Times New Roman" w:hAnsi="Times New Roman" w:cs="Times New Roman"/>
          <w:sz w:val="28"/>
          <w:szCs w:val="28"/>
        </w:rPr>
        <w:t xml:space="preserve"> планируется сохранить в муниципальной собственности пакеты акций 5 хозяйственных обществ: ОАО </w:t>
      </w:r>
      <w:r w:rsidR="00C64C04" w:rsidRPr="00EC20F8">
        <w:rPr>
          <w:rFonts w:ascii="Times New Roman" w:hAnsi="Times New Roman" w:cs="Times New Roman"/>
          <w:sz w:val="28"/>
          <w:szCs w:val="28"/>
        </w:rPr>
        <w:t xml:space="preserve">                       </w:t>
      </w:r>
      <w:r w:rsidRPr="00EC20F8">
        <w:rPr>
          <w:rFonts w:ascii="Times New Roman" w:hAnsi="Times New Roman" w:cs="Times New Roman"/>
          <w:sz w:val="28"/>
          <w:szCs w:val="28"/>
        </w:rPr>
        <w:t xml:space="preserve">«Столовая №5», ОАО «Молокозавод Петропавловский», ОАО «Дирекция по эксплуатации зданий», ОАО «Единая городская недвижимость» и ОАО «Автопарк». По состоянию на 01.07.2014 года из ЕГРЮЛ в связи с завершением конкурсного производства исключено открытое акционерное общество «Городское автобусное предприятие - 5».  В прогнозном периоде будет начата процедура по банкротству открытое акционерное общество «Городское автобусное предприятие - 4».  </w:t>
      </w:r>
    </w:p>
    <w:p w:rsidR="00CF2F32" w:rsidRPr="00EC20F8" w:rsidRDefault="00CF2F32" w:rsidP="00CF2F32">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Повышение эффективности управления муниципальным имуществом в настоящее время сдерживается нерешенностью задач по обеспечению точного учета муниципального  имущества, рыночной оценки его стоимости и организации экономически выгодного его использования.</w:t>
      </w:r>
    </w:p>
    <w:p w:rsidR="00CF2F32" w:rsidRPr="00EC20F8" w:rsidRDefault="00CF2F32" w:rsidP="00CF2F32">
      <w:pPr>
        <w:pStyle w:val="23"/>
        <w:spacing w:after="0" w:line="240" w:lineRule="auto"/>
        <w:ind w:left="0"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В 2013 году были получены неналоговые доходы от муниципальной собственности в размере </w:t>
      </w:r>
      <w:r w:rsidR="00A4673E" w:rsidRPr="00EC20F8">
        <w:rPr>
          <w:rFonts w:ascii="Times New Roman" w:hAnsi="Times New Roman" w:cs="Times New Roman"/>
          <w:sz w:val="28"/>
          <w:szCs w:val="28"/>
        </w:rPr>
        <w:t>136,36</w:t>
      </w:r>
      <w:r w:rsidRPr="00EC20F8">
        <w:rPr>
          <w:rFonts w:ascii="Times New Roman" w:hAnsi="Times New Roman" w:cs="Times New Roman"/>
          <w:sz w:val="28"/>
          <w:szCs w:val="28"/>
        </w:rPr>
        <w:t xml:space="preserve">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наибольшую долю из которых составили доходы от муниципальной собственности в виде дивидендов по акциям, принадлежащим городскому округу – </w:t>
      </w:r>
      <w:r w:rsidR="00BA3474" w:rsidRPr="00EC20F8">
        <w:rPr>
          <w:rFonts w:ascii="Times New Roman" w:hAnsi="Times New Roman" w:cs="Times New Roman"/>
          <w:sz w:val="28"/>
          <w:szCs w:val="28"/>
        </w:rPr>
        <w:t>38,1 %</w:t>
      </w:r>
      <w:r w:rsidRPr="00EC20F8">
        <w:rPr>
          <w:rFonts w:ascii="Times New Roman" w:hAnsi="Times New Roman" w:cs="Times New Roman"/>
          <w:sz w:val="28"/>
          <w:szCs w:val="28"/>
        </w:rPr>
        <w:t xml:space="preserve"> от общего объема поступивших доходов (51,9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доля доходов от приватизации муниципального имущества составили </w:t>
      </w:r>
      <w:r w:rsidR="00BA3474" w:rsidRPr="00EC20F8">
        <w:rPr>
          <w:rFonts w:ascii="Times New Roman" w:hAnsi="Times New Roman" w:cs="Times New Roman"/>
          <w:sz w:val="28"/>
          <w:szCs w:val="28"/>
        </w:rPr>
        <w:t>26,1</w:t>
      </w:r>
      <w:r w:rsidRPr="00EC20F8">
        <w:rPr>
          <w:rFonts w:ascii="Times New Roman" w:hAnsi="Times New Roman" w:cs="Times New Roman"/>
          <w:sz w:val="28"/>
          <w:szCs w:val="28"/>
        </w:rPr>
        <w:t xml:space="preserve"> % (35,6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доля прочих доходов (плата за </w:t>
      </w:r>
      <w:proofErr w:type="spellStart"/>
      <w:r w:rsidRPr="00EC20F8">
        <w:rPr>
          <w:rFonts w:ascii="Times New Roman" w:hAnsi="Times New Roman" w:cs="Times New Roman"/>
          <w:sz w:val="28"/>
          <w:szCs w:val="28"/>
        </w:rPr>
        <w:t>найм</w:t>
      </w:r>
      <w:proofErr w:type="spellEnd"/>
      <w:r w:rsidRPr="00EC20F8">
        <w:rPr>
          <w:rFonts w:ascii="Times New Roman" w:hAnsi="Times New Roman" w:cs="Times New Roman"/>
          <w:sz w:val="28"/>
          <w:szCs w:val="28"/>
        </w:rPr>
        <w:t xml:space="preserve">, доходы от продажи квартир, штрафные санкции) – </w:t>
      </w:r>
      <w:r w:rsidR="00BA3474" w:rsidRPr="00EC20F8">
        <w:rPr>
          <w:rFonts w:ascii="Times New Roman" w:hAnsi="Times New Roman" w:cs="Times New Roman"/>
          <w:sz w:val="28"/>
          <w:szCs w:val="28"/>
        </w:rPr>
        <w:t>29,0</w:t>
      </w:r>
      <w:r w:rsidRPr="00EC20F8">
        <w:rPr>
          <w:rFonts w:ascii="Times New Roman" w:hAnsi="Times New Roman" w:cs="Times New Roman"/>
          <w:sz w:val="28"/>
          <w:szCs w:val="28"/>
        </w:rPr>
        <w:t xml:space="preserve"> % (</w:t>
      </w:r>
      <w:r w:rsidR="00BA3474" w:rsidRPr="00EC20F8">
        <w:rPr>
          <w:rFonts w:ascii="Times New Roman" w:hAnsi="Times New Roman" w:cs="Times New Roman"/>
          <w:sz w:val="28"/>
          <w:szCs w:val="28"/>
        </w:rPr>
        <w:t>39,6</w:t>
      </w:r>
      <w:r w:rsidRPr="00EC20F8">
        <w:rPr>
          <w:rFonts w:ascii="Times New Roman" w:hAnsi="Times New Roman" w:cs="Times New Roman"/>
          <w:sz w:val="28"/>
          <w:szCs w:val="28"/>
        </w:rPr>
        <w:t xml:space="preserve"> </w:t>
      </w:r>
      <w:proofErr w:type="spellStart"/>
      <w:r w:rsidRPr="00EC20F8">
        <w:rPr>
          <w:rFonts w:ascii="Times New Roman" w:hAnsi="Times New Roman" w:cs="Times New Roman"/>
          <w:sz w:val="28"/>
          <w:szCs w:val="28"/>
        </w:rPr>
        <w:t>млн</w:t>
      </w:r>
      <w:proofErr w:type="spellEnd"/>
      <w:r w:rsidRPr="00EC20F8">
        <w:rPr>
          <w:rFonts w:ascii="Times New Roman" w:hAnsi="Times New Roman" w:cs="Times New Roman"/>
          <w:sz w:val="28"/>
          <w:szCs w:val="28"/>
        </w:rPr>
        <w:t xml:space="preserve"> рублей). Динамика поступлений денежных средств от приватизации муниципального нежилого имущества представлена на рисунке 18.1.</w:t>
      </w:r>
    </w:p>
    <w:p w:rsidR="00C64C04" w:rsidRPr="00EC20F8" w:rsidRDefault="00C64C04" w:rsidP="00CF2F32">
      <w:pPr>
        <w:pStyle w:val="23"/>
        <w:spacing w:after="0" w:line="240" w:lineRule="auto"/>
        <w:ind w:left="0" w:firstLine="709"/>
        <w:jc w:val="both"/>
        <w:rPr>
          <w:rFonts w:ascii="Times New Roman" w:hAnsi="Times New Roman" w:cs="Times New Roman"/>
          <w:sz w:val="12"/>
          <w:szCs w:val="12"/>
        </w:rPr>
      </w:pPr>
    </w:p>
    <w:p w:rsidR="00CF2F32" w:rsidRPr="00EC20F8" w:rsidRDefault="00CF2F32" w:rsidP="00153BA5">
      <w:pPr>
        <w:pStyle w:val="23"/>
        <w:ind w:firstLine="426"/>
        <w:rPr>
          <w:sz w:val="28"/>
          <w:szCs w:val="28"/>
        </w:rPr>
      </w:pPr>
      <w:r w:rsidRPr="00EC20F8">
        <w:rPr>
          <w:noProof/>
          <w:sz w:val="28"/>
          <w:szCs w:val="28"/>
          <w:bdr w:val="single" w:sz="4" w:space="0" w:color="auto"/>
          <w:lang w:eastAsia="ru-RU"/>
        </w:rPr>
        <w:drawing>
          <wp:inline distT="0" distB="0" distL="0" distR="0">
            <wp:extent cx="5153025" cy="2305050"/>
            <wp:effectExtent l="19050" t="0" r="0" b="0"/>
            <wp:docPr id="1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CF2F32" w:rsidRPr="00EC20F8" w:rsidRDefault="00CF2F32" w:rsidP="00CF2F32">
      <w:pPr>
        <w:pStyle w:val="23"/>
        <w:spacing w:after="0" w:line="240" w:lineRule="auto"/>
        <w:ind w:left="57" w:firstLine="709"/>
        <w:jc w:val="center"/>
        <w:rPr>
          <w:rFonts w:ascii="Times New Roman" w:hAnsi="Times New Roman" w:cs="Times New Roman"/>
          <w:i/>
          <w:sz w:val="24"/>
          <w:szCs w:val="24"/>
        </w:rPr>
      </w:pPr>
      <w:r w:rsidRPr="00EC20F8">
        <w:rPr>
          <w:rFonts w:ascii="Times New Roman" w:hAnsi="Times New Roman" w:cs="Times New Roman"/>
          <w:i/>
          <w:sz w:val="24"/>
          <w:szCs w:val="24"/>
        </w:rPr>
        <w:t xml:space="preserve">Рис 18.1. Динамика поступлений денежных средств от приватизации муниципального нежилого имущества, </w:t>
      </w:r>
      <w:proofErr w:type="spellStart"/>
      <w:proofErr w:type="gramStart"/>
      <w:r w:rsidRPr="00EC20F8">
        <w:rPr>
          <w:rFonts w:ascii="Times New Roman" w:hAnsi="Times New Roman" w:cs="Times New Roman"/>
          <w:i/>
          <w:sz w:val="24"/>
          <w:szCs w:val="24"/>
        </w:rPr>
        <w:t>млн</w:t>
      </w:r>
      <w:proofErr w:type="spellEnd"/>
      <w:proofErr w:type="gramEnd"/>
      <w:r w:rsidRPr="00EC20F8">
        <w:rPr>
          <w:rFonts w:ascii="Times New Roman" w:hAnsi="Times New Roman" w:cs="Times New Roman"/>
          <w:i/>
          <w:sz w:val="24"/>
          <w:szCs w:val="24"/>
        </w:rPr>
        <w:t xml:space="preserve"> рублей</w:t>
      </w:r>
    </w:p>
    <w:p w:rsidR="00C64C04" w:rsidRPr="00EC20F8" w:rsidRDefault="00C64C04" w:rsidP="00153BA5">
      <w:pPr>
        <w:autoSpaceDE w:val="0"/>
        <w:autoSpaceDN w:val="0"/>
        <w:adjustRightInd w:val="0"/>
        <w:spacing w:line="240" w:lineRule="auto"/>
        <w:ind w:firstLine="709"/>
        <w:jc w:val="both"/>
        <w:rPr>
          <w:rFonts w:ascii="Times New Roman" w:hAnsi="Times New Roman" w:cs="Times New Roman"/>
          <w:sz w:val="12"/>
          <w:szCs w:val="12"/>
        </w:rPr>
      </w:pPr>
    </w:p>
    <w:p w:rsidR="00CF2F32" w:rsidRPr="00EC20F8" w:rsidRDefault="00CF2F32" w:rsidP="00153BA5">
      <w:pPr>
        <w:autoSpaceDE w:val="0"/>
        <w:autoSpaceDN w:val="0"/>
        <w:adjustRightInd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Оставшаяся доля поступлений от использования муниципальной собственности в 2013 году приходится </w:t>
      </w:r>
      <w:proofErr w:type="gramStart"/>
      <w:r w:rsidRPr="00EC20F8">
        <w:rPr>
          <w:rFonts w:ascii="Times New Roman" w:hAnsi="Times New Roman" w:cs="Times New Roman"/>
          <w:sz w:val="28"/>
          <w:szCs w:val="28"/>
        </w:rPr>
        <w:t>на</w:t>
      </w:r>
      <w:proofErr w:type="gramEnd"/>
      <w:r w:rsidRPr="00EC20F8">
        <w:rPr>
          <w:rFonts w:ascii="Times New Roman" w:hAnsi="Times New Roman" w:cs="Times New Roman"/>
          <w:sz w:val="28"/>
          <w:szCs w:val="28"/>
        </w:rPr>
        <w:t>:</w:t>
      </w:r>
    </w:p>
    <w:p w:rsidR="00CF2F32" w:rsidRPr="00EC20F8" w:rsidRDefault="00CF2F32" w:rsidP="00153BA5">
      <w:pPr>
        <w:autoSpaceDE w:val="0"/>
        <w:autoSpaceDN w:val="0"/>
        <w:adjustRightInd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w:t>
      </w:r>
      <w:r w:rsidR="00153BA5" w:rsidRPr="00EC20F8">
        <w:rPr>
          <w:rFonts w:ascii="Times New Roman" w:hAnsi="Times New Roman" w:cs="Times New Roman"/>
          <w:sz w:val="28"/>
          <w:szCs w:val="28"/>
        </w:rPr>
        <w:t xml:space="preserve"> </w:t>
      </w:r>
      <w:r w:rsidRPr="00EC20F8">
        <w:rPr>
          <w:rFonts w:ascii="Times New Roman" w:hAnsi="Times New Roman" w:cs="Times New Roman"/>
          <w:sz w:val="28"/>
          <w:szCs w:val="28"/>
        </w:rPr>
        <w:t>доходы от сдачи муниципального имущества в аренду–</w:t>
      </w:r>
      <w:r w:rsidR="00BA3474" w:rsidRPr="00EC20F8">
        <w:rPr>
          <w:rFonts w:ascii="Times New Roman" w:hAnsi="Times New Roman" w:cs="Times New Roman"/>
          <w:sz w:val="28"/>
          <w:szCs w:val="28"/>
        </w:rPr>
        <w:t xml:space="preserve">6,4 </w:t>
      </w:r>
      <w:r w:rsidRPr="00EC20F8">
        <w:rPr>
          <w:rFonts w:ascii="Times New Roman" w:hAnsi="Times New Roman" w:cs="Times New Roman"/>
          <w:sz w:val="28"/>
          <w:szCs w:val="28"/>
        </w:rPr>
        <w:t xml:space="preserve">% (8,7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Низкий процент поступлений обусловлен ненадлежащим исполнением условий договоров аренды по своевременному внесению арендной платы от использования муниципального имущества;</w:t>
      </w:r>
    </w:p>
    <w:p w:rsidR="00CF2F32" w:rsidRPr="00EC20F8" w:rsidRDefault="00CF2F32" w:rsidP="00153BA5">
      <w:pPr>
        <w:autoSpaceDE w:val="0"/>
        <w:autoSpaceDN w:val="0"/>
        <w:adjustRightInd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доходы от перечисления части прибыли, остающейся в распоряжении муниципальных предприятий – 0,5</w:t>
      </w:r>
      <w:r w:rsidR="00153BA5" w:rsidRPr="00EC20F8">
        <w:rPr>
          <w:rFonts w:ascii="Times New Roman" w:hAnsi="Times New Roman" w:cs="Times New Roman"/>
          <w:sz w:val="28"/>
          <w:szCs w:val="28"/>
        </w:rPr>
        <w:t>3</w:t>
      </w:r>
      <w:r w:rsidRPr="00EC20F8">
        <w:rPr>
          <w:rFonts w:ascii="Times New Roman" w:hAnsi="Times New Roman" w:cs="Times New Roman"/>
          <w:sz w:val="28"/>
          <w:szCs w:val="28"/>
        </w:rPr>
        <w:t xml:space="preserve">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(0,</w:t>
      </w:r>
      <w:r w:rsidR="00BA3474" w:rsidRPr="00EC20F8">
        <w:rPr>
          <w:rFonts w:ascii="Times New Roman" w:hAnsi="Times New Roman" w:cs="Times New Roman"/>
          <w:sz w:val="28"/>
          <w:szCs w:val="28"/>
        </w:rPr>
        <w:t>4</w:t>
      </w:r>
      <w:r w:rsidRPr="00EC20F8">
        <w:rPr>
          <w:rFonts w:ascii="Times New Roman" w:hAnsi="Times New Roman" w:cs="Times New Roman"/>
          <w:sz w:val="28"/>
          <w:szCs w:val="28"/>
        </w:rPr>
        <w:t xml:space="preserve">%). Низкий процент поступлений связан с дебиторской задолженностью МУП «Петропавловский водоканал» перед городским округом в размере 17,6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 из-за сложной финансовой ситуации предприятия.</w:t>
      </w:r>
    </w:p>
    <w:p w:rsidR="00CF2F32" w:rsidRPr="00EC20F8" w:rsidRDefault="00CF2F32" w:rsidP="00153BA5">
      <w:pPr>
        <w:autoSpaceDE w:val="0"/>
        <w:autoSpaceDN w:val="0"/>
        <w:adjustRightInd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Динамика поступления доходов в бюджет городского округа от сдачи в аренду имущества, находящегося в муниципальной собственности, представлена на рисунке 18.2:</w:t>
      </w:r>
    </w:p>
    <w:p w:rsidR="00CF2F32" w:rsidRPr="00EC20F8" w:rsidRDefault="00CF2F32" w:rsidP="00CF2F32">
      <w:pPr>
        <w:autoSpaceDE w:val="0"/>
        <w:autoSpaceDN w:val="0"/>
        <w:adjustRightInd w:val="0"/>
        <w:ind w:firstLine="708"/>
        <w:jc w:val="both"/>
        <w:rPr>
          <w:rFonts w:ascii="Times New Roman" w:hAnsi="Times New Roman" w:cs="Times New Roman"/>
          <w:sz w:val="28"/>
          <w:szCs w:val="28"/>
        </w:rPr>
      </w:pPr>
    </w:p>
    <w:p w:rsidR="00CF2F32" w:rsidRPr="00EC20F8" w:rsidRDefault="00CF2F32" w:rsidP="00153BA5">
      <w:pPr>
        <w:pStyle w:val="23"/>
        <w:ind w:firstLine="284"/>
        <w:rPr>
          <w:sz w:val="28"/>
          <w:szCs w:val="28"/>
        </w:rPr>
      </w:pPr>
      <w:r w:rsidRPr="00EC20F8">
        <w:rPr>
          <w:noProof/>
          <w:sz w:val="28"/>
          <w:szCs w:val="28"/>
          <w:bdr w:val="single" w:sz="4" w:space="0" w:color="auto"/>
          <w:lang w:eastAsia="ru-RU"/>
        </w:rPr>
        <w:drawing>
          <wp:inline distT="0" distB="0" distL="0" distR="0">
            <wp:extent cx="5238750" cy="1952625"/>
            <wp:effectExtent l="19050" t="0" r="0" b="0"/>
            <wp:docPr id="13"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CF2F32" w:rsidRPr="00EC20F8" w:rsidRDefault="00CF2F32" w:rsidP="00CF2F32">
      <w:pPr>
        <w:pStyle w:val="23"/>
        <w:spacing w:after="0" w:line="240" w:lineRule="auto"/>
        <w:ind w:left="0" w:firstLine="709"/>
        <w:jc w:val="center"/>
        <w:rPr>
          <w:rFonts w:ascii="Times New Roman" w:hAnsi="Times New Roman" w:cs="Times New Roman"/>
          <w:i/>
          <w:szCs w:val="24"/>
        </w:rPr>
      </w:pPr>
      <w:r w:rsidRPr="00EC20F8">
        <w:rPr>
          <w:rFonts w:ascii="Times New Roman" w:hAnsi="Times New Roman" w:cs="Times New Roman"/>
          <w:i/>
          <w:szCs w:val="24"/>
        </w:rPr>
        <w:t xml:space="preserve">Рис 18.2. Динамика поступления доходов в бюджет городского округа от сдачи в аренду нежилого имущества, </w:t>
      </w:r>
      <w:proofErr w:type="spellStart"/>
      <w:proofErr w:type="gramStart"/>
      <w:r w:rsidRPr="00EC20F8">
        <w:rPr>
          <w:rFonts w:ascii="Times New Roman" w:hAnsi="Times New Roman" w:cs="Times New Roman"/>
          <w:i/>
          <w:szCs w:val="24"/>
        </w:rPr>
        <w:t>млн</w:t>
      </w:r>
      <w:proofErr w:type="spellEnd"/>
      <w:proofErr w:type="gramEnd"/>
      <w:r w:rsidRPr="00EC20F8">
        <w:rPr>
          <w:rFonts w:ascii="Times New Roman" w:hAnsi="Times New Roman" w:cs="Times New Roman"/>
          <w:i/>
          <w:szCs w:val="24"/>
        </w:rPr>
        <w:t xml:space="preserve"> рублей</w:t>
      </w:r>
    </w:p>
    <w:p w:rsidR="00CF2F32" w:rsidRPr="00EC20F8" w:rsidRDefault="00CF2F32" w:rsidP="00CF2F32">
      <w:pPr>
        <w:ind w:firstLine="709"/>
        <w:jc w:val="both"/>
        <w:rPr>
          <w:rFonts w:ascii="Times New Roman" w:hAnsi="Times New Roman" w:cs="Times New Roman"/>
          <w:sz w:val="12"/>
          <w:szCs w:val="12"/>
        </w:rPr>
      </w:pPr>
    </w:p>
    <w:p w:rsidR="00CF2F32" w:rsidRPr="00EC20F8" w:rsidRDefault="00CF2F32" w:rsidP="00CF2F32">
      <w:pPr>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Согласно прогнозного план </w:t>
      </w:r>
      <w:proofErr w:type="gramStart"/>
      <w:r w:rsidRPr="00EC20F8">
        <w:rPr>
          <w:rFonts w:ascii="Times New Roman" w:hAnsi="Times New Roman" w:cs="Times New Roman"/>
          <w:sz w:val="28"/>
          <w:szCs w:val="28"/>
        </w:rPr>
        <w:t>приватизации объектов муниципальной собственности городского округа</w:t>
      </w:r>
      <w:proofErr w:type="gramEnd"/>
      <w:r w:rsidRPr="00EC20F8">
        <w:rPr>
          <w:rFonts w:ascii="Times New Roman" w:hAnsi="Times New Roman" w:cs="Times New Roman"/>
          <w:sz w:val="28"/>
          <w:szCs w:val="28"/>
        </w:rPr>
        <w:t xml:space="preserve"> на 2014 год, утвержденного решением Городской Думы Петропавловск-Камчатского городского округа от 21.08.2013 № 272-р  в текущем году подлежат приватизации  7 объектов недвижимости муниципальной казны городского округа. В 1 полугодии  реализовано 2 объекта муниципальной собственности на общую сумму 3,7 </w:t>
      </w:r>
      <w:proofErr w:type="spellStart"/>
      <w:proofErr w:type="gramStart"/>
      <w:r w:rsidRPr="00EC20F8">
        <w:rPr>
          <w:rFonts w:ascii="Times New Roman" w:hAnsi="Times New Roman" w:cs="Times New Roman"/>
          <w:sz w:val="28"/>
          <w:szCs w:val="28"/>
        </w:rPr>
        <w:t>млн</w:t>
      </w:r>
      <w:proofErr w:type="spellEnd"/>
      <w:proofErr w:type="gramEnd"/>
      <w:r w:rsidRPr="00EC20F8">
        <w:rPr>
          <w:rFonts w:ascii="Times New Roman" w:hAnsi="Times New Roman" w:cs="Times New Roman"/>
          <w:sz w:val="28"/>
          <w:szCs w:val="28"/>
        </w:rPr>
        <w:t xml:space="preserve"> рублей.</w:t>
      </w:r>
    </w:p>
    <w:p w:rsidR="00CF2F32" w:rsidRPr="00EC20F8" w:rsidRDefault="00CF2F32" w:rsidP="00CF2F32">
      <w:pPr>
        <w:ind w:firstLine="709"/>
        <w:jc w:val="both"/>
        <w:rPr>
          <w:rFonts w:ascii="Times New Roman" w:hAnsi="Times New Roman" w:cs="Times New Roman"/>
          <w:sz w:val="28"/>
          <w:szCs w:val="28"/>
        </w:rPr>
      </w:pPr>
      <w:r w:rsidRPr="00EC20F8">
        <w:rPr>
          <w:rFonts w:ascii="Times New Roman" w:hAnsi="Times New Roman" w:cs="Times New Roman"/>
          <w:b/>
          <w:i/>
          <w:sz w:val="28"/>
          <w:szCs w:val="28"/>
        </w:rPr>
        <w:t>В 2014 году,</w:t>
      </w:r>
      <w:r w:rsidRPr="00EC20F8">
        <w:rPr>
          <w:rFonts w:ascii="Times New Roman" w:hAnsi="Times New Roman" w:cs="Times New Roman"/>
          <w:sz w:val="28"/>
          <w:szCs w:val="28"/>
        </w:rPr>
        <w:t xml:space="preserve"> по оценке, ожидается поступление доходов в бюджет городского округа, полученных от распоряжения муниципальной собственностью, в размере 107,421</w:t>
      </w:r>
      <w:r w:rsidR="00153BA5" w:rsidRPr="00EC20F8">
        <w:rPr>
          <w:rFonts w:ascii="Times New Roman" w:hAnsi="Times New Roman" w:cs="Times New Roman"/>
          <w:sz w:val="28"/>
          <w:szCs w:val="28"/>
        </w:rPr>
        <w:t xml:space="preserve"> </w:t>
      </w:r>
      <w:proofErr w:type="spellStart"/>
      <w:proofErr w:type="gramStart"/>
      <w:r w:rsidR="00153BA5" w:rsidRPr="00EC20F8">
        <w:rPr>
          <w:rFonts w:ascii="Times New Roman" w:hAnsi="Times New Roman" w:cs="Times New Roman"/>
          <w:sz w:val="28"/>
          <w:szCs w:val="28"/>
        </w:rPr>
        <w:t>млн</w:t>
      </w:r>
      <w:proofErr w:type="spellEnd"/>
      <w:proofErr w:type="gramEnd"/>
      <w:r w:rsidR="00153BA5" w:rsidRPr="00EC20F8">
        <w:rPr>
          <w:rFonts w:ascii="Times New Roman" w:hAnsi="Times New Roman" w:cs="Times New Roman"/>
          <w:sz w:val="28"/>
          <w:szCs w:val="28"/>
        </w:rPr>
        <w:t xml:space="preserve"> рублей </w:t>
      </w:r>
      <w:r w:rsidRPr="00EC20F8">
        <w:rPr>
          <w:rFonts w:ascii="Times New Roman" w:hAnsi="Times New Roman" w:cs="Times New Roman"/>
          <w:sz w:val="28"/>
          <w:szCs w:val="28"/>
        </w:rPr>
        <w:t>(из них плата за наем жилых помещений 32,602</w:t>
      </w:r>
      <w:r w:rsidR="00153BA5" w:rsidRPr="00EC20F8">
        <w:rPr>
          <w:rFonts w:ascii="Times New Roman" w:hAnsi="Times New Roman" w:cs="Times New Roman"/>
          <w:sz w:val="28"/>
          <w:szCs w:val="28"/>
        </w:rPr>
        <w:t xml:space="preserve"> </w:t>
      </w:r>
      <w:proofErr w:type="spellStart"/>
      <w:r w:rsidR="00153BA5" w:rsidRPr="00EC20F8">
        <w:rPr>
          <w:rFonts w:ascii="Times New Roman" w:hAnsi="Times New Roman" w:cs="Times New Roman"/>
          <w:sz w:val="28"/>
          <w:szCs w:val="28"/>
        </w:rPr>
        <w:t>млн</w:t>
      </w:r>
      <w:proofErr w:type="spellEnd"/>
      <w:r w:rsidR="00153BA5" w:rsidRPr="00EC20F8">
        <w:rPr>
          <w:rFonts w:ascii="Times New Roman" w:hAnsi="Times New Roman" w:cs="Times New Roman"/>
          <w:sz w:val="28"/>
          <w:szCs w:val="28"/>
        </w:rPr>
        <w:t xml:space="preserve"> рублей</w:t>
      </w:r>
      <w:r w:rsidRPr="00EC20F8">
        <w:rPr>
          <w:rFonts w:ascii="Times New Roman" w:hAnsi="Times New Roman" w:cs="Times New Roman"/>
          <w:sz w:val="28"/>
          <w:szCs w:val="28"/>
        </w:rPr>
        <w:t xml:space="preserve">), что на </w:t>
      </w:r>
      <w:r w:rsidR="00A4673E" w:rsidRPr="00EC20F8">
        <w:rPr>
          <w:rFonts w:ascii="Times New Roman" w:hAnsi="Times New Roman" w:cs="Times New Roman"/>
          <w:sz w:val="28"/>
          <w:szCs w:val="28"/>
        </w:rPr>
        <w:t>21,</w:t>
      </w:r>
      <w:r w:rsidR="006C5964" w:rsidRPr="00EC20F8">
        <w:rPr>
          <w:rFonts w:ascii="Times New Roman" w:hAnsi="Times New Roman" w:cs="Times New Roman"/>
          <w:sz w:val="28"/>
          <w:szCs w:val="28"/>
        </w:rPr>
        <w:t>2</w:t>
      </w:r>
      <w:r w:rsidRPr="00EC20F8">
        <w:rPr>
          <w:rFonts w:ascii="Times New Roman" w:hAnsi="Times New Roman" w:cs="Times New Roman"/>
          <w:b/>
          <w:sz w:val="28"/>
          <w:szCs w:val="28"/>
        </w:rPr>
        <w:t xml:space="preserve"> </w:t>
      </w:r>
      <w:r w:rsidRPr="00EC20F8">
        <w:rPr>
          <w:rFonts w:ascii="Times New Roman" w:hAnsi="Times New Roman" w:cs="Times New Roman"/>
          <w:sz w:val="28"/>
          <w:szCs w:val="28"/>
        </w:rPr>
        <w:t>% меньше фактически полученных доходов за 2013 год. Общее понижение показателя связано:</w:t>
      </w:r>
    </w:p>
    <w:p w:rsidR="00CF2F32" w:rsidRPr="00EC20F8" w:rsidRDefault="00CF2F32" w:rsidP="00CF2F32">
      <w:pPr>
        <w:pStyle w:val="ConsPlusNormal"/>
        <w:ind w:firstLine="540"/>
        <w:jc w:val="both"/>
        <w:outlineLvl w:val="0"/>
        <w:rPr>
          <w:rFonts w:ascii="Times New Roman" w:hAnsi="Times New Roman" w:cs="Times New Roman"/>
          <w:sz w:val="28"/>
          <w:szCs w:val="28"/>
        </w:rPr>
      </w:pPr>
      <w:bookmarkStart w:id="114" w:name="_Toc400467751"/>
      <w:bookmarkStart w:id="115" w:name="_Toc400529682"/>
      <w:r w:rsidRPr="00EC20F8">
        <w:rPr>
          <w:rFonts w:ascii="Times New Roman" w:hAnsi="Times New Roman" w:cs="Times New Roman"/>
          <w:sz w:val="28"/>
          <w:szCs w:val="28"/>
        </w:rPr>
        <w:t xml:space="preserve">- с уменьшением </w:t>
      </w:r>
      <w:proofErr w:type="gramStart"/>
      <w:r w:rsidRPr="00EC20F8">
        <w:rPr>
          <w:rFonts w:ascii="Times New Roman" w:hAnsi="Times New Roman" w:cs="Times New Roman"/>
          <w:sz w:val="28"/>
          <w:szCs w:val="28"/>
        </w:rPr>
        <w:t>количества объектов недвижимости подлежащих приватизации</w:t>
      </w:r>
      <w:proofErr w:type="gramEnd"/>
      <w:r w:rsidRPr="00EC20F8">
        <w:rPr>
          <w:rFonts w:ascii="Times New Roman" w:hAnsi="Times New Roman" w:cs="Times New Roman"/>
          <w:sz w:val="28"/>
          <w:szCs w:val="28"/>
        </w:rPr>
        <w:t xml:space="preserve"> согласно Прогнозному плану приватизации объектов муниципальной собственности Петропавловск-Камчатского городского округа на 2014 год до 7 объектов;</w:t>
      </w:r>
      <w:bookmarkEnd w:id="114"/>
      <w:bookmarkEnd w:id="115"/>
    </w:p>
    <w:p w:rsidR="00CF2F32" w:rsidRPr="00EC20F8" w:rsidRDefault="00CF2F32" w:rsidP="00CF2F32">
      <w:pPr>
        <w:pStyle w:val="ConsPlusNormal"/>
        <w:ind w:firstLine="540"/>
        <w:jc w:val="both"/>
        <w:outlineLvl w:val="0"/>
        <w:rPr>
          <w:rFonts w:ascii="Times New Roman" w:hAnsi="Times New Roman" w:cs="Times New Roman"/>
          <w:sz w:val="28"/>
          <w:szCs w:val="28"/>
        </w:rPr>
      </w:pPr>
      <w:bookmarkStart w:id="116" w:name="_Toc400467752"/>
      <w:bookmarkStart w:id="117" w:name="_Toc400529683"/>
      <w:proofErr w:type="gramStart"/>
      <w:r w:rsidRPr="00EC20F8">
        <w:rPr>
          <w:rFonts w:ascii="Times New Roman" w:hAnsi="Times New Roman" w:cs="Times New Roman"/>
          <w:sz w:val="28"/>
          <w:szCs w:val="28"/>
        </w:rPr>
        <w:t>- с уменьшением доходов от дивидендов по акциям, находящимся в муниципальной собственности на 32% (в связи с уменьшением полученной прибыли акционерных обществ за 2013 год, а также перераспределение прибыли в фонд развития производства для окончательного финансирования строительных проектов для нужд городского округа).</w:t>
      </w:r>
      <w:bookmarkEnd w:id="116"/>
      <w:bookmarkEnd w:id="117"/>
      <w:proofErr w:type="gramEnd"/>
    </w:p>
    <w:p w:rsidR="00CF2F32" w:rsidRPr="00EC20F8" w:rsidRDefault="00CF2F32" w:rsidP="00CF2F32">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Поступление доходов от использования муниципальной собственности</w:t>
      </w:r>
      <w:r w:rsidR="004C38EA" w:rsidRPr="00EC20F8">
        <w:rPr>
          <w:rFonts w:ascii="Times New Roman" w:hAnsi="Times New Roman" w:cs="Times New Roman"/>
          <w:sz w:val="28"/>
          <w:szCs w:val="28"/>
        </w:rPr>
        <w:t xml:space="preserve"> </w:t>
      </w:r>
      <w:r w:rsidRPr="00EC20F8">
        <w:rPr>
          <w:rFonts w:ascii="Times New Roman" w:hAnsi="Times New Roman" w:cs="Times New Roman"/>
          <w:sz w:val="28"/>
          <w:szCs w:val="28"/>
        </w:rPr>
        <w:t xml:space="preserve">без учета штрафных санкций </w:t>
      </w:r>
      <w:r w:rsidR="007600B8" w:rsidRPr="00EC20F8">
        <w:rPr>
          <w:rFonts w:ascii="Times New Roman" w:hAnsi="Times New Roman" w:cs="Times New Roman"/>
          <w:sz w:val="28"/>
          <w:szCs w:val="28"/>
        </w:rPr>
        <w:t>и дивидендов по акциям, находящимся в муниципальной  собственности</w:t>
      </w:r>
      <w:r w:rsidR="00BE7678" w:rsidRPr="00EC20F8">
        <w:rPr>
          <w:rFonts w:ascii="Times New Roman" w:hAnsi="Times New Roman" w:cs="Times New Roman"/>
          <w:sz w:val="28"/>
          <w:szCs w:val="28"/>
        </w:rPr>
        <w:t>,</w:t>
      </w:r>
      <w:r w:rsidR="008D7F59" w:rsidRPr="00EC20F8">
        <w:rPr>
          <w:rFonts w:ascii="Times New Roman" w:hAnsi="Times New Roman" w:cs="Times New Roman"/>
          <w:sz w:val="28"/>
          <w:szCs w:val="28"/>
        </w:rPr>
        <w:t xml:space="preserve"> </w:t>
      </w:r>
      <w:r w:rsidRPr="00EC20F8">
        <w:rPr>
          <w:rFonts w:ascii="Times New Roman" w:hAnsi="Times New Roman" w:cs="Times New Roman"/>
          <w:sz w:val="28"/>
          <w:szCs w:val="28"/>
        </w:rPr>
        <w:t>в 2015 году</w:t>
      </w:r>
      <w:r w:rsidR="008D7F59" w:rsidRPr="00EC20F8">
        <w:rPr>
          <w:rFonts w:ascii="Times New Roman" w:hAnsi="Times New Roman" w:cs="Times New Roman"/>
          <w:sz w:val="28"/>
          <w:szCs w:val="28"/>
        </w:rPr>
        <w:t xml:space="preserve"> по первому варианту</w:t>
      </w:r>
      <w:r w:rsidR="008D7F59" w:rsidRPr="00EC20F8">
        <w:t xml:space="preserve">  </w:t>
      </w:r>
      <w:r w:rsidR="001C3356" w:rsidRPr="00EC20F8">
        <w:rPr>
          <w:rFonts w:ascii="Times New Roman" w:hAnsi="Times New Roman" w:cs="Times New Roman"/>
          <w:sz w:val="28"/>
          <w:szCs w:val="28"/>
        </w:rPr>
        <w:t xml:space="preserve">составит </w:t>
      </w:r>
      <w:r w:rsidRPr="00EC20F8">
        <w:rPr>
          <w:rFonts w:ascii="Times New Roman" w:hAnsi="Times New Roman" w:cs="Times New Roman"/>
          <w:sz w:val="28"/>
          <w:szCs w:val="28"/>
        </w:rPr>
        <w:t xml:space="preserve">85,147 </w:t>
      </w:r>
      <w:proofErr w:type="spellStart"/>
      <w:proofErr w:type="gramStart"/>
      <w:r w:rsidR="00153BA5" w:rsidRPr="00EC20F8">
        <w:rPr>
          <w:rFonts w:ascii="Times New Roman" w:hAnsi="Times New Roman" w:cs="Times New Roman"/>
          <w:sz w:val="28"/>
          <w:szCs w:val="28"/>
        </w:rPr>
        <w:t>млн</w:t>
      </w:r>
      <w:proofErr w:type="spellEnd"/>
      <w:proofErr w:type="gramEnd"/>
      <w:r w:rsidR="00153BA5" w:rsidRPr="00EC20F8">
        <w:rPr>
          <w:rFonts w:ascii="Times New Roman" w:hAnsi="Times New Roman" w:cs="Times New Roman"/>
          <w:sz w:val="28"/>
          <w:szCs w:val="28"/>
        </w:rPr>
        <w:t xml:space="preserve"> рублей</w:t>
      </w:r>
      <w:r w:rsidRPr="00EC20F8">
        <w:rPr>
          <w:rFonts w:ascii="Times New Roman" w:hAnsi="Times New Roman" w:cs="Times New Roman"/>
          <w:sz w:val="28"/>
          <w:szCs w:val="28"/>
        </w:rPr>
        <w:t xml:space="preserve"> (из них плата за наем жилых помещений 34,974 </w:t>
      </w:r>
      <w:proofErr w:type="spellStart"/>
      <w:r w:rsidR="00153BA5" w:rsidRPr="00EC20F8">
        <w:rPr>
          <w:rFonts w:ascii="Times New Roman" w:hAnsi="Times New Roman" w:cs="Times New Roman"/>
          <w:sz w:val="28"/>
          <w:szCs w:val="28"/>
        </w:rPr>
        <w:t>млн</w:t>
      </w:r>
      <w:proofErr w:type="spellEnd"/>
      <w:r w:rsidR="00153BA5" w:rsidRPr="00EC20F8">
        <w:rPr>
          <w:rFonts w:ascii="Times New Roman" w:hAnsi="Times New Roman" w:cs="Times New Roman"/>
          <w:sz w:val="28"/>
          <w:szCs w:val="28"/>
        </w:rPr>
        <w:t xml:space="preserve"> рублей</w:t>
      </w:r>
      <w:r w:rsidRPr="00EC20F8">
        <w:rPr>
          <w:rFonts w:ascii="Times New Roman" w:hAnsi="Times New Roman" w:cs="Times New Roman"/>
          <w:sz w:val="28"/>
          <w:szCs w:val="28"/>
        </w:rPr>
        <w:t>), в 2016</w:t>
      </w:r>
      <w:r w:rsidR="00153BA5" w:rsidRPr="00EC20F8">
        <w:rPr>
          <w:rFonts w:ascii="Times New Roman" w:hAnsi="Times New Roman" w:cs="Times New Roman"/>
          <w:sz w:val="28"/>
          <w:szCs w:val="28"/>
        </w:rPr>
        <w:t xml:space="preserve"> году </w:t>
      </w:r>
      <w:r w:rsidRPr="00EC20F8">
        <w:rPr>
          <w:rFonts w:ascii="Times New Roman" w:hAnsi="Times New Roman" w:cs="Times New Roman"/>
          <w:sz w:val="28"/>
          <w:szCs w:val="28"/>
        </w:rPr>
        <w:t xml:space="preserve">- 85,010 </w:t>
      </w:r>
      <w:proofErr w:type="spellStart"/>
      <w:r w:rsidR="00153BA5" w:rsidRPr="00EC20F8">
        <w:rPr>
          <w:rFonts w:ascii="Times New Roman" w:hAnsi="Times New Roman" w:cs="Times New Roman"/>
          <w:sz w:val="28"/>
          <w:szCs w:val="28"/>
        </w:rPr>
        <w:t>млн</w:t>
      </w:r>
      <w:proofErr w:type="spellEnd"/>
      <w:r w:rsidR="00153BA5" w:rsidRPr="00EC20F8">
        <w:rPr>
          <w:rFonts w:ascii="Times New Roman" w:hAnsi="Times New Roman" w:cs="Times New Roman"/>
          <w:sz w:val="28"/>
          <w:szCs w:val="28"/>
        </w:rPr>
        <w:t xml:space="preserve"> рублей</w:t>
      </w:r>
      <w:r w:rsidRPr="00EC20F8">
        <w:rPr>
          <w:rFonts w:ascii="Times New Roman" w:hAnsi="Times New Roman" w:cs="Times New Roman"/>
          <w:sz w:val="28"/>
          <w:szCs w:val="28"/>
        </w:rPr>
        <w:t xml:space="preserve"> (из них 34,108 </w:t>
      </w:r>
      <w:proofErr w:type="spellStart"/>
      <w:r w:rsidR="00153BA5" w:rsidRPr="00EC20F8">
        <w:rPr>
          <w:rFonts w:ascii="Times New Roman" w:hAnsi="Times New Roman" w:cs="Times New Roman"/>
          <w:sz w:val="28"/>
          <w:szCs w:val="28"/>
        </w:rPr>
        <w:t>млн</w:t>
      </w:r>
      <w:proofErr w:type="spellEnd"/>
      <w:r w:rsidR="00153BA5" w:rsidRPr="00EC20F8">
        <w:rPr>
          <w:rFonts w:ascii="Times New Roman" w:hAnsi="Times New Roman" w:cs="Times New Roman"/>
          <w:sz w:val="28"/>
          <w:szCs w:val="28"/>
        </w:rPr>
        <w:t xml:space="preserve"> рублей</w:t>
      </w:r>
      <w:r w:rsidRPr="00EC20F8">
        <w:rPr>
          <w:rFonts w:ascii="Times New Roman" w:hAnsi="Times New Roman" w:cs="Times New Roman"/>
          <w:sz w:val="28"/>
          <w:szCs w:val="28"/>
        </w:rPr>
        <w:t xml:space="preserve"> плата за наем жилых помещений), 2017</w:t>
      </w:r>
      <w:r w:rsidR="00153BA5" w:rsidRPr="00EC20F8">
        <w:rPr>
          <w:rFonts w:ascii="Times New Roman" w:hAnsi="Times New Roman" w:cs="Times New Roman"/>
          <w:sz w:val="28"/>
          <w:szCs w:val="28"/>
        </w:rPr>
        <w:t xml:space="preserve"> году </w:t>
      </w:r>
      <w:r w:rsidRPr="00EC20F8">
        <w:rPr>
          <w:rFonts w:ascii="Times New Roman" w:hAnsi="Times New Roman" w:cs="Times New Roman"/>
          <w:sz w:val="28"/>
          <w:szCs w:val="28"/>
        </w:rPr>
        <w:t xml:space="preserve">- 81,057 </w:t>
      </w:r>
      <w:proofErr w:type="spellStart"/>
      <w:r w:rsidR="00153BA5" w:rsidRPr="00EC20F8">
        <w:rPr>
          <w:rFonts w:ascii="Times New Roman" w:hAnsi="Times New Roman" w:cs="Times New Roman"/>
          <w:sz w:val="28"/>
          <w:szCs w:val="28"/>
        </w:rPr>
        <w:t>млн</w:t>
      </w:r>
      <w:proofErr w:type="spellEnd"/>
      <w:r w:rsidR="00153BA5" w:rsidRPr="00EC20F8">
        <w:rPr>
          <w:rFonts w:ascii="Times New Roman" w:hAnsi="Times New Roman" w:cs="Times New Roman"/>
          <w:sz w:val="28"/>
          <w:szCs w:val="28"/>
        </w:rPr>
        <w:t xml:space="preserve"> рублей</w:t>
      </w:r>
      <w:r w:rsidRPr="00EC20F8">
        <w:rPr>
          <w:rFonts w:ascii="Times New Roman" w:hAnsi="Times New Roman" w:cs="Times New Roman"/>
          <w:sz w:val="28"/>
          <w:szCs w:val="28"/>
        </w:rPr>
        <w:t xml:space="preserve"> (из них плата за наем жилых помещений </w:t>
      </w:r>
      <w:r w:rsidR="001C3356" w:rsidRPr="00EC20F8">
        <w:rPr>
          <w:rFonts w:ascii="Times New Roman" w:hAnsi="Times New Roman" w:cs="Times New Roman"/>
          <w:sz w:val="28"/>
          <w:szCs w:val="28"/>
        </w:rPr>
        <w:t>33,261</w:t>
      </w:r>
      <w:r w:rsidRPr="00EC20F8">
        <w:rPr>
          <w:rFonts w:ascii="Times New Roman" w:hAnsi="Times New Roman" w:cs="Times New Roman"/>
          <w:sz w:val="28"/>
          <w:szCs w:val="28"/>
        </w:rPr>
        <w:t xml:space="preserve"> </w:t>
      </w:r>
      <w:proofErr w:type="spellStart"/>
      <w:proofErr w:type="gramStart"/>
      <w:r w:rsidR="00153BA5" w:rsidRPr="00EC20F8">
        <w:rPr>
          <w:rFonts w:ascii="Times New Roman" w:hAnsi="Times New Roman" w:cs="Times New Roman"/>
          <w:sz w:val="28"/>
          <w:szCs w:val="28"/>
        </w:rPr>
        <w:t>млн</w:t>
      </w:r>
      <w:proofErr w:type="spellEnd"/>
      <w:proofErr w:type="gramEnd"/>
      <w:r w:rsidR="00153BA5" w:rsidRPr="00EC20F8">
        <w:rPr>
          <w:rFonts w:ascii="Times New Roman" w:hAnsi="Times New Roman" w:cs="Times New Roman"/>
          <w:sz w:val="28"/>
          <w:szCs w:val="28"/>
        </w:rPr>
        <w:t xml:space="preserve"> рублей</w:t>
      </w:r>
      <w:r w:rsidRPr="00EC20F8">
        <w:rPr>
          <w:rFonts w:ascii="Times New Roman" w:hAnsi="Times New Roman" w:cs="Times New Roman"/>
          <w:sz w:val="28"/>
          <w:szCs w:val="28"/>
        </w:rPr>
        <w:t>).</w:t>
      </w:r>
    </w:p>
    <w:p w:rsidR="00CF2F32" w:rsidRPr="00EC20F8" w:rsidRDefault="00CF2F32" w:rsidP="00CF2F32">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Следует учитывать, что доходы от использования муниципального имущества </w:t>
      </w:r>
      <w:r w:rsidRPr="00EC20F8">
        <w:rPr>
          <w:rFonts w:ascii="Times New Roman" w:hAnsi="Times New Roman" w:cs="Times New Roman"/>
          <w:b/>
          <w:i/>
          <w:sz w:val="28"/>
          <w:szCs w:val="28"/>
        </w:rPr>
        <w:t>в плановом периоде</w:t>
      </w:r>
      <w:r w:rsidRPr="00EC20F8">
        <w:rPr>
          <w:rFonts w:ascii="Times New Roman" w:hAnsi="Times New Roman" w:cs="Times New Roman"/>
          <w:sz w:val="28"/>
          <w:szCs w:val="28"/>
        </w:rPr>
        <w:t xml:space="preserve"> могут возрасти </w:t>
      </w:r>
      <w:r w:rsidR="008D7F59" w:rsidRPr="00EC20F8">
        <w:rPr>
          <w:rFonts w:ascii="Times New Roman" w:hAnsi="Times New Roman" w:cs="Times New Roman"/>
          <w:sz w:val="28"/>
          <w:szCs w:val="28"/>
        </w:rPr>
        <w:t xml:space="preserve">с учетом того, что Комитетом по управлению имуществом администрации Петропавловск-Камчатского городского округа планируется проведение мероприятий </w:t>
      </w:r>
      <w:proofErr w:type="gramStart"/>
      <w:r w:rsidR="008D7F59" w:rsidRPr="00EC20F8">
        <w:rPr>
          <w:rFonts w:ascii="Times New Roman" w:hAnsi="Times New Roman" w:cs="Times New Roman"/>
          <w:sz w:val="28"/>
          <w:szCs w:val="28"/>
        </w:rPr>
        <w:t>по</w:t>
      </w:r>
      <w:proofErr w:type="gramEnd"/>
      <w:r w:rsidRPr="00EC20F8">
        <w:rPr>
          <w:rFonts w:ascii="Times New Roman" w:hAnsi="Times New Roman" w:cs="Times New Roman"/>
          <w:sz w:val="28"/>
          <w:szCs w:val="28"/>
        </w:rPr>
        <w:t>:</w:t>
      </w:r>
    </w:p>
    <w:p w:rsidR="00CF2F32" w:rsidRPr="00EC20F8" w:rsidRDefault="00CF2F32" w:rsidP="00CF2F32">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проведени</w:t>
      </w:r>
      <w:r w:rsidR="00F53470" w:rsidRPr="00EC20F8">
        <w:rPr>
          <w:rFonts w:ascii="Times New Roman" w:hAnsi="Times New Roman" w:cs="Times New Roman"/>
          <w:sz w:val="28"/>
          <w:szCs w:val="28"/>
        </w:rPr>
        <w:t>ю</w:t>
      </w:r>
      <w:r w:rsidRPr="00EC20F8">
        <w:rPr>
          <w:rFonts w:ascii="Times New Roman" w:hAnsi="Times New Roman" w:cs="Times New Roman"/>
          <w:sz w:val="28"/>
          <w:szCs w:val="28"/>
        </w:rPr>
        <w:t xml:space="preserve"> инвентаризации муниципального имущества, с целью выявления неиспользуемого имущества;</w:t>
      </w:r>
    </w:p>
    <w:p w:rsidR="00CF2F32" w:rsidRPr="00EC20F8" w:rsidRDefault="00CF2F32" w:rsidP="00CF2F32">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оценк</w:t>
      </w:r>
      <w:r w:rsidR="008D7F59" w:rsidRPr="00EC20F8">
        <w:rPr>
          <w:rFonts w:ascii="Times New Roman" w:hAnsi="Times New Roman" w:cs="Times New Roman"/>
          <w:sz w:val="28"/>
          <w:szCs w:val="28"/>
        </w:rPr>
        <w:t>е</w:t>
      </w:r>
      <w:r w:rsidRPr="00EC20F8">
        <w:rPr>
          <w:rFonts w:ascii="Times New Roman" w:hAnsi="Times New Roman" w:cs="Times New Roman"/>
          <w:sz w:val="28"/>
          <w:szCs w:val="28"/>
        </w:rPr>
        <w:t xml:space="preserve"> эффективности использования муниципального имущества;</w:t>
      </w:r>
    </w:p>
    <w:p w:rsidR="00CF2F32" w:rsidRPr="00EC20F8" w:rsidRDefault="00CF2F32" w:rsidP="00CF2F32">
      <w:pPr>
        <w:pStyle w:val="ConsPlusNormal"/>
        <w:ind w:firstLine="709"/>
        <w:jc w:val="both"/>
        <w:outlineLvl w:val="0"/>
        <w:rPr>
          <w:rFonts w:ascii="Times New Roman" w:hAnsi="Times New Roman" w:cs="Times New Roman"/>
          <w:sz w:val="28"/>
          <w:szCs w:val="28"/>
        </w:rPr>
      </w:pPr>
      <w:bookmarkStart w:id="118" w:name="_Toc400467753"/>
      <w:bookmarkStart w:id="119" w:name="_Toc400529684"/>
      <w:r w:rsidRPr="00EC20F8">
        <w:rPr>
          <w:rFonts w:ascii="Times New Roman" w:hAnsi="Times New Roman" w:cs="Times New Roman"/>
          <w:sz w:val="28"/>
          <w:szCs w:val="28"/>
        </w:rPr>
        <w:t>- формировани</w:t>
      </w:r>
      <w:r w:rsidR="008D7F59" w:rsidRPr="00EC20F8">
        <w:rPr>
          <w:rFonts w:ascii="Times New Roman" w:hAnsi="Times New Roman" w:cs="Times New Roman"/>
          <w:sz w:val="28"/>
          <w:szCs w:val="28"/>
        </w:rPr>
        <w:t>ю</w:t>
      </w:r>
      <w:r w:rsidRPr="00EC20F8">
        <w:rPr>
          <w:rFonts w:ascii="Times New Roman" w:hAnsi="Times New Roman" w:cs="Times New Roman"/>
          <w:sz w:val="28"/>
          <w:szCs w:val="28"/>
        </w:rPr>
        <w:t xml:space="preserve"> перечня сдаваемого в аренду имущества с целью увеличения доходов, получаемых в виде арендной платы;</w:t>
      </w:r>
      <w:bookmarkEnd w:id="118"/>
      <w:bookmarkEnd w:id="119"/>
    </w:p>
    <w:p w:rsidR="00CF2F32" w:rsidRPr="00EC20F8" w:rsidRDefault="00CF2F32" w:rsidP="00CF2F32">
      <w:pPr>
        <w:pStyle w:val="ConsPlusNormal"/>
        <w:ind w:firstLine="709"/>
        <w:jc w:val="both"/>
        <w:outlineLvl w:val="0"/>
        <w:rPr>
          <w:rFonts w:ascii="Times New Roman" w:hAnsi="Times New Roman" w:cs="Times New Roman"/>
          <w:sz w:val="28"/>
          <w:szCs w:val="28"/>
        </w:rPr>
      </w:pPr>
      <w:bookmarkStart w:id="120" w:name="_Toc400467754"/>
      <w:bookmarkStart w:id="121" w:name="_Toc400529685"/>
      <w:proofErr w:type="gramStart"/>
      <w:r w:rsidRPr="00EC20F8">
        <w:rPr>
          <w:rFonts w:ascii="Times New Roman" w:hAnsi="Times New Roman" w:cs="Times New Roman"/>
          <w:sz w:val="28"/>
          <w:szCs w:val="28"/>
        </w:rPr>
        <w:t>- предоставлени</w:t>
      </w:r>
      <w:r w:rsidR="008D7F59" w:rsidRPr="00EC20F8">
        <w:rPr>
          <w:rFonts w:ascii="Times New Roman" w:hAnsi="Times New Roman" w:cs="Times New Roman"/>
          <w:sz w:val="28"/>
          <w:szCs w:val="28"/>
        </w:rPr>
        <w:t>ю</w:t>
      </w:r>
      <w:r w:rsidRPr="00EC20F8">
        <w:rPr>
          <w:rFonts w:ascii="Times New Roman" w:hAnsi="Times New Roman" w:cs="Times New Roman"/>
          <w:sz w:val="28"/>
          <w:szCs w:val="28"/>
        </w:rPr>
        <w:t xml:space="preserve"> свободного муниципального имущества через проведение процедуры торгов на право заключения договора аренды муниципального имущества по ставкам не ниже уровня рыночных цен;</w:t>
      </w:r>
      <w:bookmarkEnd w:id="120"/>
      <w:bookmarkEnd w:id="121"/>
      <w:proofErr w:type="gramEnd"/>
    </w:p>
    <w:p w:rsidR="00CF2F32" w:rsidRPr="00EC20F8" w:rsidRDefault="00CF2F32" w:rsidP="00CF2F32">
      <w:pPr>
        <w:spacing w:line="240" w:lineRule="auto"/>
        <w:ind w:firstLine="709"/>
        <w:jc w:val="both"/>
        <w:rPr>
          <w:rFonts w:ascii="Times New Roman" w:hAnsi="Times New Roman" w:cs="Times New Roman"/>
        </w:rPr>
      </w:pPr>
      <w:r w:rsidRPr="00EC20F8">
        <w:rPr>
          <w:rFonts w:ascii="Times New Roman" w:hAnsi="Times New Roman" w:cs="Times New Roman"/>
          <w:sz w:val="28"/>
          <w:szCs w:val="28"/>
        </w:rPr>
        <w:t>- снижению (ликвидации) задолженности по доходам от использования муниципального имущества находящегося в собственности городского округа и недопущению её роста.</w:t>
      </w:r>
    </w:p>
    <w:p w:rsidR="005B055D" w:rsidRPr="00EC20F8" w:rsidRDefault="00F44E13" w:rsidP="00F44E13">
      <w:pPr>
        <w:autoSpaceDE w:val="0"/>
        <w:autoSpaceDN w:val="0"/>
        <w:adjustRightInd w:val="0"/>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В целях </w:t>
      </w:r>
      <w:r w:rsidR="00160698" w:rsidRPr="00EC20F8">
        <w:rPr>
          <w:rFonts w:ascii="Times New Roman" w:hAnsi="Times New Roman" w:cs="Times New Roman"/>
          <w:sz w:val="28"/>
          <w:szCs w:val="28"/>
        </w:rPr>
        <w:t>создания условий для эффективного управления и использования муниципального имущества</w:t>
      </w:r>
      <w:r w:rsidRPr="00EC20F8">
        <w:rPr>
          <w:rFonts w:ascii="Times New Roman" w:hAnsi="Times New Roman" w:cs="Times New Roman"/>
          <w:sz w:val="28"/>
          <w:szCs w:val="28"/>
        </w:rPr>
        <w:t xml:space="preserve"> </w:t>
      </w:r>
      <w:r w:rsidRPr="00EC20F8">
        <w:rPr>
          <w:rFonts w:ascii="Times New Roman" w:hAnsi="Times New Roman" w:cs="Times New Roman"/>
          <w:b/>
          <w:i/>
          <w:sz w:val="28"/>
          <w:szCs w:val="28"/>
        </w:rPr>
        <w:t>в прогнозном периоде</w:t>
      </w:r>
      <w:r w:rsidRPr="00EC20F8">
        <w:rPr>
          <w:rFonts w:ascii="Times New Roman" w:hAnsi="Times New Roman" w:cs="Times New Roman"/>
          <w:sz w:val="28"/>
          <w:szCs w:val="28"/>
        </w:rPr>
        <w:t xml:space="preserve"> будет реализовываться муниципальная программа «Совершенствование управления муниципальным имуществом» (подпрограмма 1«Управление и распоряжение объектами недвижимого имущества муниципальной собственности»).</w:t>
      </w:r>
      <w:proofErr w:type="gramEnd"/>
    </w:p>
    <w:p w:rsidR="00F44E13" w:rsidRPr="00EC20F8" w:rsidRDefault="00F44E13" w:rsidP="00F44E13">
      <w:pPr>
        <w:autoSpaceDE w:val="0"/>
        <w:autoSpaceDN w:val="0"/>
        <w:adjustRightInd w:val="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В рамках </w:t>
      </w:r>
      <w:r w:rsidR="00C64C04" w:rsidRPr="00EC20F8">
        <w:rPr>
          <w:rFonts w:ascii="Times New Roman" w:hAnsi="Times New Roman" w:cs="Times New Roman"/>
          <w:sz w:val="28"/>
          <w:szCs w:val="28"/>
        </w:rPr>
        <w:t xml:space="preserve">указанной </w:t>
      </w:r>
      <w:r w:rsidR="004422C4" w:rsidRPr="00EC20F8">
        <w:rPr>
          <w:rFonts w:ascii="Times New Roman" w:hAnsi="Times New Roman" w:cs="Times New Roman"/>
          <w:sz w:val="28"/>
          <w:szCs w:val="28"/>
        </w:rPr>
        <w:t>п</w:t>
      </w:r>
      <w:r w:rsidRPr="00EC20F8">
        <w:rPr>
          <w:rFonts w:ascii="Times New Roman" w:hAnsi="Times New Roman" w:cs="Times New Roman"/>
          <w:sz w:val="28"/>
          <w:szCs w:val="28"/>
        </w:rPr>
        <w:t>одпрограммы 1  планиру</w:t>
      </w:r>
      <w:r w:rsidR="004422C4" w:rsidRPr="00EC20F8">
        <w:rPr>
          <w:rFonts w:ascii="Times New Roman" w:hAnsi="Times New Roman" w:cs="Times New Roman"/>
          <w:sz w:val="28"/>
          <w:szCs w:val="28"/>
        </w:rPr>
        <w:t>е</w:t>
      </w:r>
      <w:r w:rsidRPr="00EC20F8">
        <w:rPr>
          <w:rFonts w:ascii="Times New Roman" w:hAnsi="Times New Roman" w:cs="Times New Roman"/>
          <w:sz w:val="28"/>
          <w:szCs w:val="28"/>
        </w:rPr>
        <w:t xml:space="preserve">тся </w:t>
      </w:r>
      <w:r w:rsidR="004422C4" w:rsidRPr="00EC20F8">
        <w:rPr>
          <w:rFonts w:ascii="Times New Roman" w:hAnsi="Times New Roman" w:cs="Times New Roman"/>
          <w:sz w:val="28"/>
          <w:szCs w:val="28"/>
        </w:rPr>
        <w:t xml:space="preserve">проведение </w:t>
      </w:r>
      <w:r w:rsidRPr="00EC20F8">
        <w:rPr>
          <w:rFonts w:ascii="Times New Roman" w:hAnsi="Times New Roman" w:cs="Times New Roman"/>
          <w:sz w:val="28"/>
          <w:szCs w:val="28"/>
        </w:rPr>
        <w:t>работ:</w:t>
      </w:r>
    </w:p>
    <w:p w:rsidR="00F44E13" w:rsidRPr="00EC20F8" w:rsidRDefault="00F44E13" w:rsidP="00F44E13">
      <w:pPr>
        <w:autoSpaceDE w:val="0"/>
        <w:autoSpaceDN w:val="0"/>
        <w:adjustRightInd w:val="0"/>
        <w:ind w:firstLine="709"/>
        <w:jc w:val="both"/>
        <w:rPr>
          <w:rFonts w:ascii="Times New Roman" w:hAnsi="Times New Roman" w:cs="Times New Roman"/>
          <w:sz w:val="28"/>
          <w:szCs w:val="28"/>
        </w:rPr>
      </w:pPr>
      <w:r w:rsidRPr="00EC20F8">
        <w:rPr>
          <w:rFonts w:ascii="Times New Roman" w:hAnsi="Times New Roman" w:cs="Times New Roman"/>
          <w:sz w:val="28"/>
          <w:szCs w:val="28"/>
        </w:rPr>
        <w:t>- по содержанию, обслуживанию, проведению ремонта и иных работ по поддержанию в надлежащем состоянии муниципального имущества;</w:t>
      </w:r>
    </w:p>
    <w:p w:rsidR="00F44E13" w:rsidRPr="00EC20F8" w:rsidRDefault="00F44E13" w:rsidP="00F44E13">
      <w:pPr>
        <w:autoSpaceDE w:val="0"/>
        <w:autoSpaceDN w:val="0"/>
        <w:adjustRightInd w:val="0"/>
        <w:ind w:firstLine="709"/>
        <w:jc w:val="both"/>
        <w:rPr>
          <w:rFonts w:ascii="Times New Roman" w:hAnsi="Times New Roman" w:cs="Times New Roman"/>
          <w:sz w:val="28"/>
          <w:szCs w:val="28"/>
        </w:rPr>
      </w:pPr>
      <w:r w:rsidRPr="00EC20F8">
        <w:rPr>
          <w:rFonts w:ascii="Times New Roman" w:hAnsi="Times New Roman" w:cs="Times New Roman"/>
          <w:sz w:val="28"/>
          <w:szCs w:val="28"/>
        </w:rPr>
        <w:t>- по изготовлению технической документации на объекты недвижимого имущества для последующей регистрации права муниципальной собственности;</w:t>
      </w:r>
    </w:p>
    <w:p w:rsidR="00F44E13" w:rsidRPr="00EC20F8" w:rsidRDefault="00F44E13" w:rsidP="00F44E13">
      <w:pPr>
        <w:autoSpaceDE w:val="0"/>
        <w:autoSpaceDN w:val="0"/>
        <w:adjustRightInd w:val="0"/>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 по оценке рыночной </w:t>
      </w:r>
      <w:proofErr w:type="gramStart"/>
      <w:r w:rsidRPr="00EC20F8">
        <w:rPr>
          <w:rFonts w:ascii="Times New Roman" w:hAnsi="Times New Roman" w:cs="Times New Roman"/>
          <w:sz w:val="28"/>
          <w:szCs w:val="28"/>
        </w:rPr>
        <w:t>стоимости объектов имущества муниципальной собственности</w:t>
      </w:r>
      <w:proofErr w:type="gramEnd"/>
      <w:r w:rsidRPr="00EC20F8">
        <w:rPr>
          <w:rFonts w:ascii="Times New Roman" w:hAnsi="Times New Roman" w:cs="Times New Roman"/>
          <w:sz w:val="28"/>
          <w:szCs w:val="28"/>
        </w:rPr>
        <w:t xml:space="preserve"> в целях продажи или сдачи в аренду;</w:t>
      </w:r>
    </w:p>
    <w:p w:rsidR="00F44E13" w:rsidRPr="00EC20F8" w:rsidRDefault="00F44E13" w:rsidP="00F44E13">
      <w:pPr>
        <w:autoSpaceDE w:val="0"/>
        <w:autoSpaceDN w:val="0"/>
        <w:adjustRightInd w:val="0"/>
        <w:ind w:firstLine="709"/>
        <w:jc w:val="both"/>
        <w:rPr>
          <w:rFonts w:ascii="Times New Roman" w:hAnsi="Times New Roman" w:cs="Times New Roman"/>
          <w:sz w:val="28"/>
          <w:szCs w:val="28"/>
        </w:rPr>
      </w:pPr>
      <w:r w:rsidRPr="00EC20F8">
        <w:rPr>
          <w:rFonts w:ascii="Times New Roman" w:hAnsi="Times New Roman" w:cs="Times New Roman"/>
          <w:sz w:val="28"/>
          <w:szCs w:val="28"/>
        </w:rPr>
        <w:t>- по стимулированию населения в поддержании в надлежащем состоянии имущества муниципального жилищного фонда.</w:t>
      </w:r>
    </w:p>
    <w:p w:rsidR="00990336" w:rsidRPr="00EC20F8" w:rsidRDefault="004422C4" w:rsidP="00F44E13">
      <w:pPr>
        <w:autoSpaceDE w:val="0"/>
        <w:autoSpaceDN w:val="0"/>
        <w:adjustRightInd w:val="0"/>
        <w:spacing w:line="240" w:lineRule="auto"/>
        <w:ind w:firstLine="709"/>
        <w:jc w:val="both"/>
        <w:outlineLvl w:val="0"/>
        <w:rPr>
          <w:rFonts w:ascii="Times New Roman" w:hAnsi="Times New Roman" w:cs="Times New Roman"/>
          <w:sz w:val="28"/>
          <w:szCs w:val="28"/>
        </w:rPr>
      </w:pPr>
      <w:r w:rsidRPr="00EC20F8">
        <w:rPr>
          <w:rFonts w:ascii="Times New Roman" w:hAnsi="Times New Roman" w:cs="Times New Roman"/>
          <w:sz w:val="28"/>
          <w:szCs w:val="28"/>
        </w:rPr>
        <w:t>Реализация указанных мероприятий обеспечит процесс ведения единого реестра имущества муниципальной собственности, пополнение его достоверными сведениями.</w:t>
      </w:r>
    </w:p>
    <w:p w:rsidR="004422C4" w:rsidRPr="00EC20F8" w:rsidRDefault="004422C4" w:rsidP="004422C4">
      <w:pPr>
        <w:autoSpaceDE w:val="0"/>
        <w:autoSpaceDN w:val="0"/>
        <w:adjustRightInd w:val="0"/>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Так же</w:t>
      </w:r>
      <w:r w:rsidR="00C64C04" w:rsidRPr="00EC20F8">
        <w:rPr>
          <w:rFonts w:ascii="Times New Roman" w:hAnsi="Times New Roman" w:cs="Times New Roman"/>
          <w:sz w:val="28"/>
          <w:szCs w:val="28"/>
        </w:rPr>
        <w:t>,</w:t>
      </w:r>
      <w:r w:rsidRPr="00EC20F8">
        <w:rPr>
          <w:rFonts w:ascii="Times New Roman" w:hAnsi="Times New Roman" w:cs="Times New Roman"/>
          <w:sz w:val="28"/>
          <w:szCs w:val="28"/>
        </w:rPr>
        <w:t xml:space="preserve"> в рамках подпрограммы</w:t>
      </w:r>
      <w:r w:rsidR="00C64C04" w:rsidRPr="00EC20F8">
        <w:rPr>
          <w:rFonts w:ascii="Times New Roman" w:hAnsi="Times New Roman" w:cs="Times New Roman"/>
          <w:sz w:val="28"/>
          <w:szCs w:val="28"/>
        </w:rPr>
        <w:t xml:space="preserve"> </w:t>
      </w:r>
      <w:r w:rsidRPr="00EC20F8">
        <w:rPr>
          <w:rFonts w:ascii="Times New Roman" w:hAnsi="Times New Roman" w:cs="Times New Roman"/>
          <w:sz w:val="28"/>
          <w:szCs w:val="28"/>
        </w:rPr>
        <w:t>1</w:t>
      </w:r>
      <w:r w:rsidR="008428B6" w:rsidRPr="00EC20F8">
        <w:rPr>
          <w:rFonts w:ascii="Times New Roman" w:hAnsi="Times New Roman" w:cs="Times New Roman"/>
          <w:sz w:val="28"/>
          <w:szCs w:val="28"/>
        </w:rPr>
        <w:t xml:space="preserve"> </w:t>
      </w:r>
      <w:r w:rsidR="00C64C04" w:rsidRPr="00EC20F8">
        <w:rPr>
          <w:rFonts w:ascii="Times New Roman" w:hAnsi="Times New Roman" w:cs="Times New Roman"/>
          <w:sz w:val="28"/>
          <w:szCs w:val="28"/>
        </w:rPr>
        <w:t>«Управление и распоряжение объектами недвижимого имущества муниципальной собственности»</w:t>
      </w:r>
      <w:r w:rsidRPr="00EC20F8">
        <w:rPr>
          <w:rFonts w:ascii="Times New Roman" w:hAnsi="Times New Roman" w:cs="Times New Roman"/>
          <w:sz w:val="28"/>
          <w:szCs w:val="28"/>
        </w:rPr>
        <w:t xml:space="preserve"> органами администрации </w:t>
      </w:r>
      <w:proofErr w:type="spellStart"/>
      <w:r w:rsidRPr="00EC20F8">
        <w:rPr>
          <w:rFonts w:ascii="Times New Roman" w:hAnsi="Times New Roman" w:cs="Times New Roman"/>
          <w:sz w:val="28"/>
          <w:szCs w:val="28"/>
        </w:rPr>
        <w:t>Петропавловск-Камчатского</w:t>
      </w:r>
      <w:proofErr w:type="spellEnd"/>
      <w:r w:rsidRPr="00EC20F8">
        <w:rPr>
          <w:rFonts w:ascii="Times New Roman" w:hAnsi="Times New Roman" w:cs="Times New Roman"/>
          <w:sz w:val="28"/>
          <w:szCs w:val="28"/>
        </w:rPr>
        <w:t xml:space="preserve"> городского округа планиру</w:t>
      </w:r>
      <w:r w:rsidR="00160698" w:rsidRPr="00EC20F8">
        <w:rPr>
          <w:rFonts w:ascii="Times New Roman" w:hAnsi="Times New Roman" w:cs="Times New Roman"/>
          <w:sz w:val="28"/>
          <w:szCs w:val="28"/>
        </w:rPr>
        <w:t>ю</w:t>
      </w:r>
      <w:r w:rsidRPr="00EC20F8">
        <w:rPr>
          <w:rFonts w:ascii="Times New Roman" w:hAnsi="Times New Roman" w:cs="Times New Roman"/>
          <w:sz w:val="28"/>
          <w:szCs w:val="28"/>
        </w:rPr>
        <w:t xml:space="preserve">тся мероприятия  по осуществлению капитальных вложений в объекты муниципальной собственности в рамках решения Городской Думы Петропавловск-Камчатского городского округа от 24.04.2014 № 209-нд </w:t>
      </w:r>
      <w:r w:rsidR="00C64C04" w:rsidRPr="00EC20F8">
        <w:rPr>
          <w:rFonts w:ascii="Times New Roman" w:hAnsi="Times New Roman" w:cs="Times New Roman"/>
          <w:sz w:val="28"/>
          <w:szCs w:val="28"/>
        </w:rPr>
        <w:t xml:space="preserve">                  </w:t>
      </w:r>
      <w:r w:rsidRPr="00EC20F8">
        <w:rPr>
          <w:rFonts w:ascii="Times New Roman" w:hAnsi="Times New Roman" w:cs="Times New Roman"/>
          <w:sz w:val="28"/>
          <w:szCs w:val="28"/>
        </w:rPr>
        <w:t xml:space="preserve">«О порядке регулирования отношений в сфере осуществления инвестиционной деятельности в форме капитальных вложений на территории </w:t>
      </w:r>
      <w:proofErr w:type="spellStart"/>
      <w:r w:rsidRPr="00EC20F8">
        <w:rPr>
          <w:rFonts w:ascii="Times New Roman" w:hAnsi="Times New Roman" w:cs="Times New Roman"/>
          <w:sz w:val="28"/>
          <w:szCs w:val="28"/>
        </w:rPr>
        <w:t>Петропавловск-</w:t>
      </w:r>
      <w:r w:rsidR="008428B6" w:rsidRPr="00EC20F8">
        <w:rPr>
          <w:rFonts w:ascii="Times New Roman" w:hAnsi="Times New Roman" w:cs="Times New Roman"/>
          <w:sz w:val="28"/>
          <w:szCs w:val="28"/>
        </w:rPr>
        <w:t>Камчатского</w:t>
      </w:r>
      <w:proofErr w:type="spellEnd"/>
      <w:r w:rsidR="008428B6" w:rsidRPr="00EC20F8">
        <w:rPr>
          <w:rFonts w:ascii="Times New Roman" w:hAnsi="Times New Roman" w:cs="Times New Roman"/>
          <w:sz w:val="28"/>
          <w:szCs w:val="28"/>
        </w:rPr>
        <w:t xml:space="preserve"> городского округа», </w:t>
      </w:r>
      <w:r w:rsidRPr="00EC20F8">
        <w:rPr>
          <w:rFonts w:ascii="Times New Roman" w:hAnsi="Times New Roman" w:cs="Times New Roman"/>
          <w:sz w:val="28"/>
          <w:szCs w:val="28"/>
        </w:rPr>
        <w:t>постановления админист</w:t>
      </w:r>
      <w:r w:rsidR="00C64C04" w:rsidRPr="00EC20F8">
        <w:rPr>
          <w:rFonts w:ascii="Times New Roman" w:hAnsi="Times New Roman" w:cs="Times New Roman"/>
          <w:sz w:val="28"/>
          <w:szCs w:val="28"/>
        </w:rPr>
        <w:t>рации</w:t>
      </w:r>
      <w:proofErr w:type="gramEnd"/>
      <w:r w:rsidR="00C64C04" w:rsidRPr="00EC20F8">
        <w:rPr>
          <w:rFonts w:ascii="Times New Roman" w:hAnsi="Times New Roman" w:cs="Times New Roman"/>
          <w:sz w:val="28"/>
          <w:szCs w:val="28"/>
        </w:rPr>
        <w:t xml:space="preserve"> </w:t>
      </w:r>
      <w:proofErr w:type="spellStart"/>
      <w:proofErr w:type="gramStart"/>
      <w:r w:rsidR="00C64C04" w:rsidRPr="00EC20F8">
        <w:rPr>
          <w:rFonts w:ascii="Times New Roman" w:hAnsi="Times New Roman" w:cs="Times New Roman"/>
          <w:sz w:val="28"/>
          <w:szCs w:val="28"/>
        </w:rPr>
        <w:t>Петропавловск-Камчатского</w:t>
      </w:r>
      <w:proofErr w:type="spellEnd"/>
      <w:proofErr w:type="gramEnd"/>
      <w:r w:rsidR="00C64C04" w:rsidRPr="00EC20F8">
        <w:rPr>
          <w:rFonts w:ascii="Times New Roman" w:hAnsi="Times New Roman" w:cs="Times New Roman"/>
          <w:sz w:val="28"/>
          <w:szCs w:val="28"/>
        </w:rPr>
        <w:t xml:space="preserve"> городского </w:t>
      </w:r>
      <w:r w:rsidRPr="00EC20F8">
        <w:rPr>
          <w:rFonts w:ascii="Times New Roman" w:hAnsi="Times New Roman" w:cs="Times New Roman"/>
          <w:sz w:val="28"/>
          <w:szCs w:val="28"/>
        </w:rPr>
        <w:t xml:space="preserve">округа  Камчатского края  от  05.05.2014 № 1051 «Об осуществлении капитальных вложений в объекты муниципальной собственности </w:t>
      </w:r>
      <w:proofErr w:type="spellStart"/>
      <w:r w:rsidRPr="00EC20F8">
        <w:rPr>
          <w:rFonts w:ascii="Times New Roman" w:hAnsi="Times New Roman" w:cs="Times New Roman"/>
          <w:sz w:val="28"/>
          <w:szCs w:val="28"/>
        </w:rPr>
        <w:t>Петропавловск-Камчатского</w:t>
      </w:r>
      <w:proofErr w:type="spellEnd"/>
      <w:r w:rsidRPr="00EC20F8">
        <w:rPr>
          <w:rFonts w:ascii="Times New Roman" w:hAnsi="Times New Roman" w:cs="Times New Roman"/>
          <w:sz w:val="28"/>
          <w:szCs w:val="28"/>
        </w:rPr>
        <w:t xml:space="preserve"> городского округа».</w:t>
      </w:r>
      <w:bookmarkStart w:id="122" w:name="_Toc400529686"/>
      <w:bookmarkStart w:id="123" w:name="_Toc368988920"/>
      <w:bookmarkStart w:id="124" w:name="_Toc368930859"/>
      <w:bookmarkStart w:id="125" w:name="_Toc368930235"/>
    </w:p>
    <w:p w:rsidR="00CB61DE" w:rsidRPr="00EC20F8" w:rsidRDefault="00CB61DE" w:rsidP="004422C4">
      <w:pPr>
        <w:autoSpaceDE w:val="0"/>
        <w:autoSpaceDN w:val="0"/>
        <w:adjustRightInd w:val="0"/>
        <w:ind w:firstLine="709"/>
        <w:jc w:val="both"/>
        <w:rPr>
          <w:rFonts w:ascii="Times New Roman" w:hAnsi="Times New Roman" w:cs="Times New Roman"/>
          <w:b/>
          <w:sz w:val="28"/>
          <w:szCs w:val="28"/>
        </w:rPr>
      </w:pPr>
    </w:p>
    <w:p w:rsidR="00905D0F" w:rsidRPr="00EC20F8" w:rsidRDefault="00905D0F" w:rsidP="00905D0F">
      <w:pPr>
        <w:autoSpaceDE w:val="0"/>
        <w:autoSpaceDN w:val="0"/>
        <w:adjustRightInd w:val="0"/>
        <w:spacing w:line="240" w:lineRule="auto"/>
        <w:jc w:val="center"/>
        <w:outlineLvl w:val="0"/>
        <w:rPr>
          <w:rFonts w:ascii="Times New Roman" w:hAnsi="Times New Roman" w:cs="Times New Roman"/>
          <w:b/>
          <w:sz w:val="28"/>
          <w:szCs w:val="28"/>
        </w:rPr>
      </w:pPr>
      <w:r w:rsidRPr="00EC20F8">
        <w:rPr>
          <w:rFonts w:ascii="Times New Roman" w:hAnsi="Times New Roman" w:cs="Times New Roman"/>
          <w:b/>
          <w:sz w:val="28"/>
          <w:szCs w:val="28"/>
        </w:rPr>
        <w:t>19. Жилищно-коммунальное хозяйство</w:t>
      </w:r>
      <w:bookmarkEnd w:id="122"/>
    </w:p>
    <w:p w:rsidR="00905D0F" w:rsidRPr="00EC20F8" w:rsidRDefault="00905D0F" w:rsidP="00905D0F">
      <w:pPr>
        <w:spacing w:line="240" w:lineRule="auto"/>
        <w:ind w:firstLine="709"/>
        <w:contextualSpacing/>
        <w:jc w:val="center"/>
        <w:rPr>
          <w:rFonts w:ascii="Times New Roman" w:hAnsi="Times New Roman" w:cs="Times New Roman"/>
          <w:b/>
          <w:bCs/>
          <w:highlight w:val="yellow"/>
        </w:rPr>
      </w:pPr>
    </w:p>
    <w:p w:rsidR="00905D0F" w:rsidRPr="00EC20F8" w:rsidRDefault="00905D0F" w:rsidP="00905D0F">
      <w:pPr>
        <w:pStyle w:val="a3"/>
        <w:spacing w:line="240" w:lineRule="auto"/>
        <w:ind w:left="0" w:firstLine="709"/>
        <w:jc w:val="both"/>
        <w:rPr>
          <w:rFonts w:ascii="Times New Roman" w:hAnsi="Times New Roman"/>
          <w:sz w:val="28"/>
          <w:szCs w:val="28"/>
        </w:rPr>
      </w:pPr>
      <w:r w:rsidRPr="00EC20F8">
        <w:rPr>
          <w:rFonts w:ascii="Times New Roman" w:hAnsi="Times New Roman"/>
          <w:sz w:val="28"/>
          <w:szCs w:val="28"/>
        </w:rPr>
        <w:t xml:space="preserve">За 2013 год общая площадь жилищного фонда на территории  городского округа увеличилась по сравнению с 2012 годом на 42,4  тыс. кв. метров и составила на конец года 4 381,3 тыс. кв. метров. Обеспеченность населения жильем по городскому округу сложилась на уровне 24,0 кв. метров на одного жителя (в 2012 году – 23,9 кв. метров). </w:t>
      </w:r>
    </w:p>
    <w:p w:rsidR="00905D0F" w:rsidRPr="00EC20F8" w:rsidRDefault="00905D0F" w:rsidP="00905D0F">
      <w:pPr>
        <w:spacing w:line="240" w:lineRule="auto"/>
        <w:ind w:firstLine="709"/>
        <w:contextualSpacing/>
        <w:jc w:val="both"/>
        <w:rPr>
          <w:rFonts w:ascii="Times New Roman" w:hAnsi="Times New Roman" w:cs="Times New Roman"/>
          <w:sz w:val="28"/>
          <w:szCs w:val="28"/>
        </w:rPr>
      </w:pPr>
      <w:r w:rsidRPr="00EC20F8">
        <w:rPr>
          <w:rFonts w:ascii="Times New Roman" w:hAnsi="Times New Roman" w:cs="Times New Roman"/>
          <w:sz w:val="28"/>
          <w:szCs w:val="28"/>
        </w:rPr>
        <w:t xml:space="preserve">По формам собственности жилищный фонд представлен следующим образом: 80,3 % – находится в частной собственности (из них 97,9 % – в собственности граждан); 13,5 % – в муниципальной собственности; 6,2 % – государственной собственности. </w:t>
      </w:r>
    </w:p>
    <w:p w:rsidR="00905D0F" w:rsidRPr="00EC20F8" w:rsidRDefault="00905D0F" w:rsidP="00905D0F">
      <w:pPr>
        <w:pStyle w:val="a3"/>
        <w:spacing w:line="240" w:lineRule="auto"/>
        <w:ind w:left="0" w:firstLine="709"/>
        <w:jc w:val="both"/>
        <w:rPr>
          <w:rFonts w:ascii="Times New Roman" w:hAnsi="Times New Roman"/>
          <w:sz w:val="28"/>
          <w:szCs w:val="28"/>
        </w:rPr>
      </w:pPr>
      <w:r w:rsidRPr="00EC20F8">
        <w:rPr>
          <w:rFonts w:ascii="Times New Roman" w:hAnsi="Times New Roman"/>
          <w:sz w:val="28"/>
          <w:szCs w:val="28"/>
        </w:rPr>
        <w:t xml:space="preserve">Активность граждан по оформлению муниципальных квартир в собственность, в связи с окончанием сроков приватизации, привела к значительному сокращению муниципального жилищного фонда, площадь которого </w:t>
      </w:r>
      <w:proofErr w:type="gramStart"/>
      <w:r w:rsidRPr="00EC20F8">
        <w:rPr>
          <w:rFonts w:ascii="Times New Roman" w:hAnsi="Times New Roman"/>
          <w:sz w:val="28"/>
          <w:szCs w:val="28"/>
        </w:rPr>
        <w:t>на конец</w:t>
      </w:r>
      <w:proofErr w:type="gramEnd"/>
      <w:r w:rsidRPr="00EC20F8">
        <w:rPr>
          <w:rFonts w:ascii="Times New Roman" w:hAnsi="Times New Roman"/>
          <w:sz w:val="28"/>
          <w:szCs w:val="28"/>
        </w:rPr>
        <w:t xml:space="preserve"> 2013 года составила 593,3 тыс. кв. метров, снизившись к уровню 2012 года на 31,1 тыс. кв. метров. В первом полугодии 2014 года муниципальный жилищный фонд уменьшился на 880 квартир. Продление сроков приватизации повлияло на снижение данного показателя. Вместе с тем, предполагается, что к концу 2017 года по первому варианту прогноза количество муниципального жилищного фонда составит 537,0 тыс. кв. метров (16 740 квартир). Увеличение данного показателя возможно за счет передачи в муниципальную собственность жилых помещений из казны Камчатского края. </w:t>
      </w:r>
    </w:p>
    <w:p w:rsidR="00905D0F" w:rsidRPr="00EC20F8" w:rsidRDefault="00905D0F" w:rsidP="00905D0F">
      <w:pPr>
        <w:tabs>
          <w:tab w:val="left" w:pos="993"/>
        </w:tabs>
        <w:spacing w:line="240" w:lineRule="auto"/>
        <w:ind w:firstLine="709"/>
        <w:contextualSpacing/>
        <w:jc w:val="both"/>
        <w:rPr>
          <w:rFonts w:ascii="Times New Roman" w:hAnsi="Times New Roman" w:cs="Times New Roman"/>
          <w:sz w:val="28"/>
          <w:szCs w:val="28"/>
          <w:highlight w:val="yellow"/>
        </w:rPr>
      </w:pPr>
      <w:r w:rsidRPr="00EC20F8">
        <w:rPr>
          <w:rFonts w:ascii="Times New Roman" w:hAnsi="Times New Roman" w:cs="Times New Roman"/>
          <w:sz w:val="28"/>
          <w:szCs w:val="28"/>
        </w:rPr>
        <w:t>По данным территориального органа федеральной службы государственной статистики по Камчатскому краю, в 2013 году общая площадь ветхого и аварийного фонда в городском округе составляла  131,8 тыс. кв. метров, что составляет 3 % от общей площади жилых помещений.</w:t>
      </w:r>
      <w:r w:rsidRPr="00EC20F8">
        <w:rPr>
          <w:rFonts w:ascii="Times New Roman" w:hAnsi="Times New Roman" w:cs="Times New Roman"/>
          <w:sz w:val="28"/>
          <w:szCs w:val="28"/>
          <w:highlight w:val="yellow"/>
        </w:rPr>
        <w:t xml:space="preserve"> </w:t>
      </w:r>
    </w:p>
    <w:p w:rsidR="00905D0F" w:rsidRPr="00EC20F8" w:rsidRDefault="00905D0F" w:rsidP="00905D0F">
      <w:pPr>
        <w:pStyle w:val="a3"/>
        <w:tabs>
          <w:tab w:val="left" w:pos="993"/>
        </w:tabs>
        <w:spacing w:line="240" w:lineRule="auto"/>
        <w:ind w:left="0" w:firstLine="709"/>
        <w:jc w:val="both"/>
        <w:rPr>
          <w:rFonts w:ascii="Times New Roman" w:hAnsi="Times New Roman"/>
          <w:sz w:val="28"/>
          <w:szCs w:val="28"/>
        </w:rPr>
      </w:pPr>
      <w:proofErr w:type="gramStart"/>
      <w:r w:rsidRPr="00EC20F8">
        <w:rPr>
          <w:rFonts w:ascii="Times New Roman" w:hAnsi="Times New Roman"/>
          <w:sz w:val="28"/>
          <w:szCs w:val="28"/>
        </w:rPr>
        <w:t xml:space="preserve">По данным Межведомственной жилищной технической комиссии Петропавловск-Камчатского городского округа в 2013 году ветхий и аварийный муниципальный фонд в городском округе составляли 22 дома общей площадью 2 105, 71 квадратных метров, из нее 99% или 2 105,45 квадратных метров – площадь непригодных для проживания жилых помещений. </w:t>
      </w:r>
      <w:proofErr w:type="gramEnd"/>
    </w:p>
    <w:p w:rsidR="00905D0F" w:rsidRPr="00EC20F8" w:rsidRDefault="00905D0F" w:rsidP="00905D0F">
      <w:pPr>
        <w:autoSpaceDE w:val="0"/>
        <w:autoSpaceDN w:val="0"/>
        <w:adjustRightInd w:val="0"/>
        <w:ind w:firstLine="709"/>
        <w:contextualSpacing/>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Деятельность администрации городского округа в сфере жилищной политики направлена на улучшение состояния жилищного фонда городского округа, обеспечение доступности жилья для всех категорий граждан и на создание комфортных, безопасных условий проживания граждан на территории городского округа. </w:t>
      </w:r>
      <w:proofErr w:type="gramEnd"/>
    </w:p>
    <w:p w:rsidR="00905D0F" w:rsidRPr="00EC20F8" w:rsidRDefault="00905D0F" w:rsidP="00905D0F">
      <w:pPr>
        <w:spacing w:line="240" w:lineRule="auto"/>
        <w:ind w:firstLine="709"/>
        <w:jc w:val="both"/>
        <w:rPr>
          <w:rFonts w:ascii="Times New Roman" w:eastAsia="Calibri" w:hAnsi="Times New Roman" w:cs="Times New Roman"/>
          <w:sz w:val="28"/>
          <w:szCs w:val="28"/>
        </w:rPr>
      </w:pPr>
      <w:proofErr w:type="gramStart"/>
      <w:r w:rsidRPr="00EC20F8">
        <w:rPr>
          <w:rFonts w:ascii="Times New Roman" w:hAnsi="Times New Roman" w:cs="Times New Roman"/>
          <w:sz w:val="28"/>
          <w:szCs w:val="28"/>
        </w:rPr>
        <w:t>В целях улучшения состояния жилищного фонда в городском округе действовала муниципальная адресная программа «Проведение капитального ремонта многоквартирных домов в городском округе в 2012-2013 годах» с использованием средств Фонда содействия реформированию жилищно-коммунального хозяйства, средств бюджета Камчатского края и средств собственников помещений.</w:t>
      </w:r>
      <w:proofErr w:type="gramEnd"/>
      <w:r w:rsidRPr="00EC20F8">
        <w:rPr>
          <w:rFonts w:ascii="Times New Roman" w:hAnsi="Times New Roman" w:cs="Times New Roman"/>
          <w:sz w:val="28"/>
          <w:szCs w:val="28"/>
        </w:rPr>
        <w:t xml:space="preserve"> </w:t>
      </w:r>
      <w:r w:rsidRPr="00EC20F8">
        <w:rPr>
          <w:rFonts w:ascii="Times New Roman" w:eastAsia="Calibri" w:hAnsi="Times New Roman" w:cs="Times New Roman"/>
          <w:sz w:val="28"/>
          <w:szCs w:val="28"/>
        </w:rPr>
        <w:t xml:space="preserve">За 2013 год площадь капитально отремонтированных жилых домов составила 125 тыс. кв. метров, что на    41,8 % выше уровня 2012 года. </w:t>
      </w:r>
    </w:p>
    <w:p w:rsidR="00905D0F" w:rsidRPr="00EC20F8" w:rsidRDefault="00905D0F" w:rsidP="00DB5A11">
      <w:pPr>
        <w:autoSpaceDE w:val="0"/>
        <w:autoSpaceDN w:val="0"/>
        <w:adjustRightInd w:val="0"/>
        <w:spacing w:line="240" w:lineRule="auto"/>
        <w:ind w:firstLine="708"/>
        <w:jc w:val="both"/>
        <w:rPr>
          <w:rFonts w:ascii="Times New Roman" w:eastAsia="Calibri" w:hAnsi="Times New Roman" w:cs="Times New Roman"/>
          <w:sz w:val="28"/>
          <w:szCs w:val="28"/>
        </w:rPr>
      </w:pPr>
      <w:proofErr w:type="gramStart"/>
      <w:r w:rsidRPr="00EC20F8">
        <w:rPr>
          <w:rFonts w:ascii="Times New Roman" w:eastAsia="Calibri" w:hAnsi="Times New Roman" w:cs="Times New Roman"/>
          <w:sz w:val="28"/>
          <w:szCs w:val="28"/>
        </w:rPr>
        <w:t xml:space="preserve">В 2014 году планируется капитально отремонтировать 29 многоквартирных домов общей площадью 117,7 тыс. кв. метров, в соответствии </w:t>
      </w:r>
      <w:r w:rsidRPr="00EC20F8">
        <w:rPr>
          <w:rFonts w:ascii="Times New Roman" w:eastAsia="Calibri" w:hAnsi="Times New Roman" w:cs="Times New Roman"/>
          <w:sz w:val="28"/>
          <w:szCs w:val="28"/>
          <w:lang w:eastAsia="ru-RU"/>
        </w:rPr>
        <w:t>постановлением администрации Петропавловск-Камчатского городского округа от 24.07.2014 № 1845 «Об утверждении краткосрочного плана реализации региональной программы капитального ремонта общего имущества в многоквартирных домах в Камчатском крае на 2014-2043 годы по Петропавловск-Камчатскому городскому округу на 2014-2016 годы».</w:t>
      </w:r>
      <w:proofErr w:type="gramEnd"/>
      <w:r w:rsidR="00DB5A11" w:rsidRPr="00EC20F8">
        <w:rPr>
          <w:rFonts w:ascii="Times New Roman" w:eastAsia="Calibri" w:hAnsi="Times New Roman" w:cs="Times New Roman"/>
          <w:sz w:val="28"/>
          <w:szCs w:val="28"/>
          <w:lang w:eastAsia="ru-RU"/>
        </w:rPr>
        <w:t xml:space="preserve"> </w:t>
      </w:r>
      <w:r w:rsidRPr="00EC20F8">
        <w:rPr>
          <w:rFonts w:ascii="Times New Roman" w:eastAsia="Calibri" w:hAnsi="Times New Roman" w:cs="Times New Roman"/>
          <w:sz w:val="28"/>
          <w:szCs w:val="28"/>
        </w:rPr>
        <w:t>Одним из направлений по созданию комфортных и безопасных условий проживания граждан на территории городского округа является переселение граждан из аварийного жилищного фонда.</w:t>
      </w:r>
    </w:p>
    <w:p w:rsidR="00905D0F" w:rsidRPr="00EC20F8" w:rsidRDefault="00905D0F" w:rsidP="00DB5A11">
      <w:pPr>
        <w:tabs>
          <w:tab w:val="left" w:pos="4111"/>
        </w:tabs>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xml:space="preserve">Для возможности поэтапного решения проблемы ликвидации аварийного и непригодного жилищного фонда, с учетом возможностей бюджетного финансирования всех уровней, </w:t>
      </w:r>
      <w:r w:rsidR="008E15B4" w:rsidRPr="00EC20F8">
        <w:rPr>
          <w:rFonts w:ascii="Times New Roman" w:eastAsia="Calibri" w:hAnsi="Times New Roman" w:cs="Times New Roman"/>
          <w:sz w:val="28"/>
          <w:szCs w:val="28"/>
        </w:rPr>
        <w:t>в 2014 году</w:t>
      </w:r>
      <w:r w:rsidRPr="00EC20F8">
        <w:rPr>
          <w:rFonts w:ascii="Times New Roman" w:eastAsia="Calibri" w:hAnsi="Times New Roman" w:cs="Times New Roman"/>
          <w:sz w:val="28"/>
          <w:szCs w:val="28"/>
        </w:rPr>
        <w:t xml:space="preserve"> </w:t>
      </w:r>
      <w:r w:rsidR="008E15B4" w:rsidRPr="00EC20F8">
        <w:rPr>
          <w:rFonts w:ascii="Times New Roman" w:eastAsia="Calibri" w:hAnsi="Times New Roman" w:cs="Times New Roman"/>
          <w:sz w:val="28"/>
          <w:szCs w:val="28"/>
        </w:rPr>
        <w:t xml:space="preserve">реализуется </w:t>
      </w:r>
      <w:r w:rsidRPr="00EC20F8">
        <w:rPr>
          <w:rFonts w:ascii="Times New Roman" w:eastAsia="Calibri" w:hAnsi="Times New Roman" w:cs="Times New Roman"/>
          <w:sz w:val="28"/>
          <w:szCs w:val="28"/>
        </w:rPr>
        <w:t xml:space="preserve">муниципальная </w:t>
      </w:r>
      <w:r w:rsidR="00DB5A11" w:rsidRPr="00EC20F8">
        <w:rPr>
          <w:rFonts w:ascii="Times New Roman" w:eastAsia="Calibri" w:hAnsi="Times New Roman" w:cs="Times New Roman"/>
          <w:sz w:val="28"/>
          <w:szCs w:val="28"/>
        </w:rPr>
        <w:t>п</w:t>
      </w:r>
      <w:r w:rsidRPr="00EC20F8">
        <w:rPr>
          <w:rFonts w:ascii="Times New Roman" w:eastAsia="Calibri" w:hAnsi="Times New Roman" w:cs="Times New Roman"/>
          <w:sz w:val="28"/>
          <w:szCs w:val="28"/>
        </w:rPr>
        <w:t xml:space="preserve">рограмма «Обеспечение доступным и комфортным жильем жителей  </w:t>
      </w:r>
      <w:proofErr w:type="spellStart"/>
      <w:proofErr w:type="gramStart"/>
      <w:r w:rsidRPr="00EC20F8">
        <w:rPr>
          <w:rFonts w:ascii="Times New Roman" w:eastAsia="Calibri" w:hAnsi="Times New Roman" w:cs="Times New Roman"/>
          <w:sz w:val="28"/>
          <w:szCs w:val="28"/>
        </w:rPr>
        <w:t>Петропавловск-Камчатского</w:t>
      </w:r>
      <w:proofErr w:type="spellEnd"/>
      <w:proofErr w:type="gramEnd"/>
      <w:r w:rsidRPr="00EC20F8">
        <w:rPr>
          <w:rFonts w:ascii="Times New Roman" w:eastAsia="Calibri" w:hAnsi="Times New Roman" w:cs="Times New Roman"/>
          <w:sz w:val="28"/>
          <w:szCs w:val="28"/>
        </w:rPr>
        <w:t xml:space="preserve"> городского округа</w:t>
      </w:r>
      <w:r w:rsidR="00DB5A11" w:rsidRPr="00EC20F8">
        <w:rPr>
          <w:rFonts w:ascii="Times New Roman" w:eastAsia="Calibri" w:hAnsi="Times New Roman" w:cs="Times New Roman"/>
          <w:sz w:val="28"/>
          <w:szCs w:val="28"/>
        </w:rPr>
        <w:t xml:space="preserve"> на 2014-2016 годы».</w:t>
      </w:r>
    </w:p>
    <w:p w:rsidR="00905D0F" w:rsidRPr="00EC20F8" w:rsidRDefault="00905D0F" w:rsidP="00DB5A11">
      <w:pPr>
        <w:tabs>
          <w:tab w:val="left" w:pos="142"/>
        </w:tabs>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В указанную муниципальную программу включены</w:t>
      </w:r>
      <w:r w:rsidR="00DB5A11" w:rsidRPr="00EC20F8">
        <w:rPr>
          <w:rFonts w:ascii="Times New Roman" w:eastAsia="Calibri" w:hAnsi="Times New Roman" w:cs="Times New Roman"/>
          <w:sz w:val="28"/>
          <w:szCs w:val="28"/>
        </w:rPr>
        <w:t xml:space="preserve"> подпрограммы</w:t>
      </w:r>
      <w:r w:rsidRPr="00EC20F8">
        <w:rPr>
          <w:rFonts w:ascii="Times New Roman" w:eastAsia="Calibri" w:hAnsi="Times New Roman" w:cs="Times New Roman"/>
          <w:sz w:val="28"/>
          <w:szCs w:val="28"/>
        </w:rPr>
        <w:t xml:space="preserve">:  </w:t>
      </w:r>
    </w:p>
    <w:p w:rsidR="00905D0F" w:rsidRPr="00EC20F8" w:rsidRDefault="00DB5A11" w:rsidP="00DB5A11">
      <w:pPr>
        <w:tabs>
          <w:tab w:val="left" w:pos="142"/>
        </w:tabs>
        <w:autoSpaceDE w:val="0"/>
        <w:autoSpaceDN w:val="0"/>
        <w:adjustRightInd w:val="0"/>
        <w:spacing w:line="240" w:lineRule="auto"/>
        <w:ind w:firstLine="709"/>
        <w:jc w:val="both"/>
        <w:rPr>
          <w:rFonts w:ascii="Times New Roman" w:eastAsia="Calibri" w:hAnsi="Times New Roman" w:cs="Times New Roman"/>
          <w:sz w:val="28"/>
          <w:szCs w:val="28"/>
          <w:lang w:eastAsia="ru-RU"/>
        </w:rPr>
      </w:pPr>
      <w:r w:rsidRPr="00EC20F8">
        <w:rPr>
          <w:rFonts w:ascii="Times New Roman" w:eastAsia="Calibri" w:hAnsi="Times New Roman" w:cs="Times New Roman"/>
          <w:sz w:val="28"/>
          <w:szCs w:val="28"/>
          <w:lang w:eastAsia="ru-RU"/>
        </w:rPr>
        <w:t>- Подпрограмма 1 «</w:t>
      </w:r>
      <w:r w:rsidR="00905D0F" w:rsidRPr="00EC20F8">
        <w:rPr>
          <w:rFonts w:ascii="Times New Roman" w:eastAsia="Calibri" w:hAnsi="Times New Roman" w:cs="Times New Roman"/>
          <w:sz w:val="28"/>
          <w:szCs w:val="28"/>
          <w:lang w:eastAsia="ru-RU"/>
        </w:rPr>
        <w:t>Переселение граждан из непригодного и аварийного жилищного фонда</w:t>
      </w:r>
      <w:r w:rsidRPr="00EC20F8">
        <w:rPr>
          <w:rFonts w:ascii="Times New Roman" w:eastAsia="Calibri" w:hAnsi="Times New Roman" w:cs="Times New Roman"/>
          <w:sz w:val="28"/>
          <w:szCs w:val="28"/>
          <w:lang w:eastAsia="ru-RU"/>
        </w:rPr>
        <w:t>»</w:t>
      </w:r>
      <w:r w:rsidR="00905D0F" w:rsidRPr="00EC20F8">
        <w:rPr>
          <w:rFonts w:ascii="Times New Roman" w:eastAsia="Calibri" w:hAnsi="Times New Roman" w:cs="Times New Roman"/>
          <w:sz w:val="28"/>
          <w:szCs w:val="28"/>
          <w:lang w:eastAsia="ru-RU"/>
        </w:rPr>
        <w:t>.</w:t>
      </w:r>
    </w:p>
    <w:p w:rsidR="00905D0F" w:rsidRPr="00EC20F8" w:rsidRDefault="00DB5A11" w:rsidP="00DB5A11">
      <w:pPr>
        <w:tabs>
          <w:tab w:val="left" w:pos="142"/>
        </w:tabs>
        <w:autoSpaceDE w:val="0"/>
        <w:autoSpaceDN w:val="0"/>
        <w:adjustRightInd w:val="0"/>
        <w:spacing w:line="240" w:lineRule="auto"/>
        <w:ind w:firstLine="709"/>
        <w:jc w:val="both"/>
        <w:rPr>
          <w:rFonts w:ascii="Times New Roman" w:eastAsia="Calibri" w:hAnsi="Times New Roman" w:cs="Times New Roman"/>
          <w:sz w:val="28"/>
          <w:szCs w:val="28"/>
          <w:lang w:eastAsia="ru-RU"/>
        </w:rPr>
      </w:pPr>
      <w:r w:rsidRPr="00EC20F8">
        <w:rPr>
          <w:rFonts w:ascii="Times New Roman" w:eastAsia="Calibri" w:hAnsi="Times New Roman" w:cs="Times New Roman"/>
          <w:sz w:val="28"/>
          <w:szCs w:val="28"/>
          <w:lang w:eastAsia="ru-RU"/>
        </w:rPr>
        <w:t>- Подпрограмма 2 «</w:t>
      </w:r>
      <w:r w:rsidR="00905D0F" w:rsidRPr="00EC20F8">
        <w:rPr>
          <w:rFonts w:ascii="Times New Roman" w:eastAsia="Calibri" w:hAnsi="Times New Roman" w:cs="Times New Roman"/>
          <w:sz w:val="28"/>
          <w:szCs w:val="28"/>
          <w:lang w:eastAsia="ru-RU"/>
        </w:rPr>
        <w:t>Стим</w:t>
      </w:r>
      <w:r w:rsidRPr="00EC20F8">
        <w:rPr>
          <w:rFonts w:ascii="Times New Roman" w:eastAsia="Calibri" w:hAnsi="Times New Roman" w:cs="Times New Roman"/>
          <w:sz w:val="28"/>
          <w:szCs w:val="28"/>
          <w:lang w:eastAsia="ru-RU"/>
        </w:rPr>
        <w:t xml:space="preserve">улирование развития жилищного </w:t>
      </w:r>
      <w:r w:rsidR="00905D0F" w:rsidRPr="00EC20F8">
        <w:rPr>
          <w:rFonts w:ascii="Times New Roman" w:eastAsia="Calibri" w:hAnsi="Times New Roman" w:cs="Times New Roman"/>
          <w:sz w:val="28"/>
          <w:szCs w:val="28"/>
          <w:lang w:eastAsia="ru-RU"/>
        </w:rPr>
        <w:t>строительства.</w:t>
      </w:r>
    </w:p>
    <w:p w:rsidR="00905D0F" w:rsidRPr="00EC20F8" w:rsidRDefault="00DB5A11" w:rsidP="00DB5A11">
      <w:pPr>
        <w:tabs>
          <w:tab w:val="left" w:pos="142"/>
        </w:tabs>
        <w:autoSpaceDE w:val="0"/>
        <w:autoSpaceDN w:val="0"/>
        <w:adjustRightInd w:val="0"/>
        <w:spacing w:line="240" w:lineRule="auto"/>
        <w:ind w:firstLine="709"/>
        <w:jc w:val="both"/>
        <w:rPr>
          <w:rFonts w:ascii="Times New Roman" w:eastAsia="Calibri" w:hAnsi="Times New Roman" w:cs="Times New Roman"/>
          <w:sz w:val="28"/>
          <w:szCs w:val="28"/>
          <w:lang w:eastAsia="ru-RU"/>
        </w:rPr>
      </w:pPr>
      <w:r w:rsidRPr="00EC20F8">
        <w:rPr>
          <w:rFonts w:ascii="Times New Roman" w:eastAsia="Calibri" w:hAnsi="Times New Roman" w:cs="Times New Roman"/>
          <w:sz w:val="28"/>
          <w:szCs w:val="28"/>
          <w:lang w:eastAsia="ru-RU"/>
        </w:rPr>
        <w:t>- Подпрограмма 3 «</w:t>
      </w:r>
      <w:r w:rsidR="00905D0F" w:rsidRPr="00EC20F8">
        <w:rPr>
          <w:rFonts w:ascii="Times New Roman" w:eastAsia="Calibri" w:hAnsi="Times New Roman" w:cs="Times New Roman"/>
          <w:sz w:val="28"/>
          <w:szCs w:val="28"/>
          <w:lang w:eastAsia="ru-RU"/>
        </w:rPr>
        <w:t>Повышение устойчивости жилых домов, основных объектов и систем жизнеобеспечения</w:t>
      </w:r>
      <w:r w:rsidRPr="00EC20F8">
        <w:rPr>
          <w:rFonts w:ascii="Times New Roman" w:eastAsia="Calibri" w:hAnsi="Times New Roman" w:cs="Times New Roman"/>
          <w:sz w:val="28"/>
          <w:szCs w:val="28"/>
          <w:lang w:eastAsia="ru-RU"/>
        </w:rPr>
        <w:t>»</w:t>
      </w:r>
      <w:r w:rsidR="00905D0F" w:rsidRPr="00EC20F8">
        <w:rPr>
          <w:rFonts w:ascii="Times New Roman" w:eastAsia="Calibri" w:hAnsi="Times New Roman" w:cs="Times New Roman"/>
          <w:sz w:val="28"/>
          <w:szCs w:val="28"/>
          <w:lang w:eastAsia="ru-RU"/>
        </w:rPr>
        <w:t>.</w:t>
      </w:r>
    </w:p>
    <w:p w:rsidR="00905D0F" w:rsidRPr="00EC20F8" w:rsidRDefault="00DB5A11" w:rsidP="00DB5A11">
      <w:pPr>
        <w:tabs>
          <w:tab w:val="left" w:pos="142"/>
        </w:tabs>
        <w:autoSpaceDE w:val="0"/>
        <w:autoSpaceDN w:val="0"/>
        <w:adjustRightInd w:val="0"/>
        <w:spacing w:line="240" w:lineRule="auto"/>
        <w:ind w:left="709"/>
        <w:jc w:val="both"/>
        <w:rPr>
          <w:rFonts w:ascii="Times New Roman" w:eastAsia="Calibri" w:hAnsi="Times New Roman" w:cs="Times New Roman"/>
          <w:sz w:val="28"/>
          <w:szCs w:val="28"/>
          <w:lang w:eastAsia="ru-RU"/>
        </w:rPr>
      </w:pPr>
      <w:r w:rsidRPr="00EC20F8">
        <w:rPr>
          <w:rFonts w:ascii="Times New Roman" w:eastAsia="Calibri" w:hAnsi="Times New Roman" w:cs="Times New Roman"/>
          <w:sz w:val="28"/>
          <w:szCs w:val="28"/>
          <w:lang w:eastAsia="ru-RU"/>
        </w:rPr>
        <w:t>Подпрограмма 4 «</w:t>
      </w:r>
      <w:r w:rsidR="00905D0F" w:rsidRPr="00EC20F8">
        <w:rPr>
          <w:rFonts w:ascii="Times New Roman" w:eastAsia="Calibri" w:hAnsi="Times New Roman" w:cs="Times New Roman"/>
          <w:sz w:val="28"/>
          <w:szCs w:val="28"/>
          <w:lang w:eastAsia="ru-RU"/>
        </w:rPr>
        <w:t>Обеспечение жильем молодых семей</w:t>
      </w:r>
      <w:r w:rsidRPr="00EC20F8">
        <w:rPr>
          <w:rFonts w:ascii="Times New Roman" w:eastAsia="Calibri" w:hAnsi="Times New Roman" w:cs="Times New Roman"/>
          <w:sz w:val="28"/>
          <w:szCs w:val="28"/>
          <w:lang w:eastAsia="ru-RU"/>
        </w:rPr>
        <w:t>»</w:t>
      </w:r>
      <w:r w:rsidR="00905D0F" w:rsidRPr="00EC20F8">
        <w:rPr>
          <w:rFonts w:ascii="Times New Roman" w:eastAsia="Calibri" w:hAnsi="Times New Roman" w:cs="Times New Roman"/>
          <w:sz w:val="28"/>
          <w:szCs w:val="28"/>
          <w:lang w:eastAsia="ru-RU"/>
        </w:rPr>
        <w:t>.</w:t>
      </w:r>
    </w:p>
    <w:p w:rsidR="00DB5A11" w:rsidRPr="00EC20F8" w:rsidRDefault="00DB5A11" w:rsidP="00DB5A11">
      <w:pPr>
        <w:tabs>
          <w:tab w:val="left" w:pos="142"/>
        </w:tabs>
        <w:autoSpaceDE w:val="0"/>
        <w:autoSpaceDN w:val="0"/>
        <w:adjustRightInd w:val="0"/>
        <w:spacing w:line="240" w:lineRule="auto"/>
        <w:ind w:left="709"/>
        <w:jc w:val="both"/>
        <w:rPr>
          <w:rFonts w:ascii="Times New Roman" w:eastAsia="Calibri" w:hAnsi="Times New Roman" w:cs="Times New Roman"/>
          <w:sz w:val="12"/>
          <w:szCs w:val="12"/>
          <w:lang w:eastAsia="ru-RU"/>
        </w:rPr>
      </w:pPr>
    </w:p>
    <w:p w:rsidR="00905D0F" w:rsidRPr="00EC20F8" w:rsidRDefault="00905D0F" w:rsidP="00905D0F">
      <w:pPr>
        <w:autoSpaceDE w:val="0"/>
        <w:autoSpaceDN w:val="0"/>
        <w:adjustRightInd w:val="0"/>
        <w:spacing w:line="240" w:lineRule="auto"/>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ab/>
        <w:t>Общая площадь непригодных для проживания жилых помещений, планируемых к расселению в рамках выполнения муниципальной программы</w:t>
      </w:r>
      <w:r w:rsidR="00DB5A11" w:rsidRPr="00EC20F8">
        <w:rPr>
          <w:rFonts w:ascii="Times New Roman" w:eastAsia="Calibri" w:hAnsi="Times New Roman" w:cs="Times New Roman"/>
          <w:sz w:val="28"/>
          <w:szCs w:val="28"/>
        </w:rPr>
        <w:t>,</w:t>
      </w:r>
      <w:r w:rsidRPr="00EC20F8">
        <w:rPr>
          <w:rFonts w:ascii="Times New Roman" w:eastAsia="Calibri" w:hAnsi="Times New Roman" w:cs="Times New Roman"/>
          <w:sz w:val="28"/>
          <w:szCs w:val="28"/>
        </w:rPr>
        <w:t xml:space="preserve"> составит 43,7 тысяч квадратных метров.</w:t>
      </w:r>
    </w:p>
    <w:p w:rsidR="00905D0F" w:rsidRPr="00EC20F8" w:rsidRDefault="00905D0F" w:rsidP="00905D0F">
      <w:pPr>
        <w:autoSpaceDE w:val="0"/>
        <w:autoSpaceDN w:val="0"/>
        <w:adjustRightInd w:val="0"/>
        <w:spacing w:line="240" w:lineRule="auto"/>
        <w:ind w:firstLine="708"/>
        <w:jc w:val="both"/>
        <w:rPr>
          <w:rFonts w:ascii="Times New Roman" w:eastAsia="Calibri" w:hAnsi="Times New Roman" w:cs="Times New Roman"/>
          <w:sz w:val="28"/>
          <w:szCs w:val="28"/>
          <w:lang w:eastAsia="ru-RU"/>
        </w:rPr>
      </w:pPr>
      <w:r w:rsidRPr="00EC20F8">
        <w:rPr>
          <w:rFonts w:ascii="Times New Roman" w:eastAsia="Calibri" w:hAnsi="Times New Roman" w:cs="Times New Roman"/>
          <w:sz w:val="28"/>
          <w:szCs w:val="28"/>
        </w:rPr>
        <w:t xml:space="preserve">Количество объектов аварийного и непригодного для проживания жилищного фонда, планируемых к расселению в ходе реализации мероприятий муниципальной программы, составит всего 286 единиц, в том числе 184 многоквартирных домов, 59 отдельных квартир и 43 индивидуальных жилых домов.   </w:t>
      </w:r>
    </w:p>
    <w:p w:rsidR="00905D0F" w:rsidRPr="00EC20F8" w:rsidRDefault="00905D0F" w:rsidP="00905D0F">
      <w:pPr>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xml:space="preserve">В 2014 году планируется осуществить снос расселенных аварийных домов в количестве 45 единиц, общей площадью 16 тысяч квадратных метров. </w:t>
      </w:r>
    </w:p>
    <w:p w:rsidR="00905D0F" w:rsidRPr="00EC20F8" w:rsidRDefault="00905D0F" w:rsidP="00905D0F">
      <w:pPr>
        <w:autoSpaceDE w:val="0"/>
        <w:autoSpaceDN w:val="0"/>
        <w:adjustRightInd w:val="0"/>
        <w:spacing w:line="240" w:lineRule="auto"/>
        <w:ind w:firstLine="709"/>
        <w:jc w:val="both"/>
        <w:rPr>
          <w:rFonts w:ascii="Times New Roman" w:eastAsia="Calibri" w:hAnsi="Times New Roman" w:cs="Times New Roman"/>
          <w:sz w:val="28"/>
          <w:szCs w:val="28"/>
        </w:rPr>
      </w:pPr>
      <w:proofErr w:type="gramStart"/>
      <w:r w:rsidRPr="00EC20F8">
        <w:rPr>
          <w:rFonts w:ascii="Times New Roman" w:eastAsia="Calibri" w:hAnsi="Times New Roman" w:cs="Times New Roman"/>
          <w:sz w:val="28"/>
          <w:szCs w:val="28"/>
        </w:rPr>
        <w:t>Поддержка молодых семей в вопросах улучшения жилищных условий является важным направлением жилищной политики администрации городского округа и осуществляется путем реализации подпрограммы «Обеспечение жильем молодых семей» в рамках муниципальной программы «Обеспечение доступным и комфортным жильем жителей Петропавловск-Камчатского городского округа на 201</w:t>
      </w:r>
      <w:r w:rsidR="008E15B4" w:rsidRPr="00EC20F8">
        <w:rPr>
          <w:rFonts w:ascii="Times New Roman" w:eastAsia="Calibri" w:hAnsi="Times New Roman" w:cs="Times New Roman"/>
          <w:sz w:val="28"/>
          <w:szCs w:val="28"/>
        </w:rPr>
        <w:t>4</w:t>
      </w:r>
      <w:r w:rsidRPr="00EC20F8">
        <w:rPr>
          <w:rFonts w:ascii="Times New Roman" w:eastAsia="Calibri" w:hAnsi="Times New Roman" w:cs="Times New Roman"/>
          <w:sz w:val="28"/>
          <w:szCs w:val="28"/>
        </w:rPr>
        <w:t>-201</w:t>
      </w:r>
      <w:r w:rsidR="008E15B4" w:rsidRPr="00EC20F8">
        <w:rPr>
          <w:rFonts w:ascii="Times New Roman" w:eastAsia="Calibri" w:hAnsi="Times New Roman" w:cs="Times New Roman"/>
          <w:sz w:val="28"/>
          <w:szCs w:val="28"/>
        </w:rPr>
        <w:t>6</w:t>
      </w:r>
      <w:r w:rsidRPr="00EC20F8">
        <w:rPr>
          <w:rFonts w:ascii="Times New Roman" w:eastAsia="Calibri" w:hAnsi="Times New Roman" w:cs="Times New Roman"/>
          <w:sz w:val="28"/>
          <w:szCs w:val="28"/>
        </w:rPr>
        <w:t xml:space="preserve"> годы».</w:t>
      </w:r>
      <w:proofErr w:type="gramEnd"/>
    </w:p>
    <w:p w:rsidR="00905D0F" w:rsidRPr="00EC20F8" w:rsidRDefault="00905D0F" w:rsidP="00905D0F">
      <w:pPr>
        <w:autoSpaceDE w:val="0"/>
        <w:autoSpaceDN w:val="0"/>
        <w:adjustRightInd w:val="0"/>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xml:space="preserve">По состоянию на 01.01.2014 участниками программы стали 423 молодых семей. Темпы реализации программы ограничены финансовыми возможностями бюджетов Камчатского края и городского округа и позволяют оценить количество молодых семей, стоящих на учете в 2017 году, на уровне от 390 до 450 единиц. </w:t>
      </w:r>
    </w:p>
    <w:p w:rsidR="00905D0F" w:rsidRPr="00EC20F8" w:rsidRDefault="00905D0F" w:rsidP="00905D0F">
      <w:pPr>
        <w:widowControl w:val="0"/>
        <w:autoSpaceDE w:val="0"/>
        <w:autoSpaceDN w:val="0"/>
        <w:adjustRightInd w:val="0"/>
        <w:spacing w:line="240" w:lineRule="auto"/>
        <w:ind w:firstLine="709"/>
        <w:jc w:val="both"/>
        <w:rPr>
          <w:rFonts w:ascii="Times New Roman" w:eastAsia="Calibri" w:hAnsi="Times New Roman" w:cs="Times New Roman"/>
          <w:sz w:val="28"/>
          <w:szCs w:val="28"/>
        </w:rPr>
      </w:pPr>
      <w:proofErr w:type="gramStart"/>
      <w:r w:rsidRPr="00EC20F8">
        <w:rPr>
          <w:rFonts w:ascii="Times New Roman" w:eastAsia="Calibri" w:hAnsi="Times New Roman" w:cs="Times New Roman"/>
          <w:sz w:val="28"/>
          <w:szCs w:val="28"/>
        </w:rPr>
        <w:t xml:space="preserve">Работа по обеспечению переселения граждан из аварийного жилья будет продолжена и </w:t>
      </w:r>
      <w:r w:rsidRPr="00EC20F8">
        <w:rPr>
          <w:rFonts w:ascii="Times New Roman" w:eastAsia="Calibri" w:hAnsi="Times New Roman" w:cs="Times New Roman"/>
          <w:b/>
          <w:i/>
          <w:sz w:val="28"/>
          <w:szCs w:val="28"/>
        </w:rPr>
        <w:t>в 2014-2017 годах</w:t>
      </w:r>
      <w:r w:rsidRPr="00EC20F8">
        <w:rPr>
          <w:rFonts w:ascii="Times New Roman" w:eastAsia="Calibri" w:hAnsi="Times New Roman" w:cs="Times New Roman"/>
          <w:sz w:val="28"/>
          <w:szCs w:val="28"/>
        </w:rPr>
        <w:t xml:space="preserve"> в рамках муниципальной программы «Обеспечение доступным и комфортным жильем жителей Петропавловск-Камчатского городского округа», также будут реализованы мероприятия, направленные на решение задач, связанных с ликвидацией аварийного жилищного фонда, включая оказание поддержки в обеспечении жильем молодых семей.</w:t>
      </w:r>
      <w:proofErr w:type="gramEnd"/>
    </w:p>
    <w:p w:rsidR="00905D0F" w:rsidRPr="00EC20F8" w:rsidRDefault="00905D0F" w:rsidP="00905D0F">
      <w:pPr>
        <w:widowControl w:val="0"/>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xml:space="preserve">В прогнозном периоде продолжится реализация мероприятий, предусмотренных </w:t>
      </w:r>
      <w:proofErr w:type="gramStart"/>
      <w:r w:rsidRPr="00EC20F8">
        <w:rPr>
          <w:rFonts w:ascii="Times New Roman" w:eastAsia="Calibri" w:hAnsi="Times New Roman" w:cs="Times New Roman"/>
          <w:sz w:val="28"/>
          <w:szCs w:val="28"/>
        </w:rPr>
        <w:t>действующими</w:t>
      </w:r>
      <w:proofErr w:type="gramEnd"/>
      <w:r w:rsidRPr="00EC20F8">
        <w:rPr>
          <w:rFonts w:ascii="Times New Roman" w:eastAsia="Calibri" w:hAnsi="Times New Roman" w:cs="Times New Roman"/>
          <w:sz w:val="28"/>
          <w:szCs w:val="28"/>
        </w:rPr>
        <w:t xml:space="preserve"> краевыми и муниципальной программой. </w:t>
      </w:r>
    </w:p>
    <w:p w:rsidR="00905D0F" w:rsidRPr="00EC20F8" w:rsidRDefault="00905D0F" w:rsidP="00905D0F">
      <w:pPr>
        <w:widowControl w:val="0"/>
        <w:autoSpaceDE w:val="0"/>
        <w:autoSpaceDN w:val="0"/>
        <w:adjustRightInd w:val="0"/>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xml:space="preserve">В результате реализации мероприятий вышеуказанных подпрограмм планируется, что к концу 2017 года 895 семей, проживающих в аварийном и непригодном жилищном фонде городского округа, будут переселены в благоустроенное жилье. Будет осуществлен снос 41,2 тысяч квадратных метров ветхого и аварийного жилищного фонда. </w:t>
      </w:r>
    </w:p>
    <w:p w:rsidR="00905D0F" w:rsidRPr="00EC20F8" w:rsidRDefault="00905D0F" w:rsidP="00905D0F">
      <w:pPr>
        <w:ind w:left="33" w:right="34" w:firstLine="676"/>
        <w:jc w:val="both"/>
        <w:rPr>
          <w:rFonts w:ascii="Times New Roman" w:eastAsia="Calibri" w:hAnsi="Times New Roman" w:cs="Times New Roman"/>
          <w:sz w:val="28"/>
          <w:szCs w:val="28"/>
        </w:rPr>
      </w:pPr>
      <w:r w:rsidRPr="00EC20F8">
        <w:rPr>
          <w:rFonts w:ascii="Times New Roman" w:eastAsia="Calibri" w:hAnsi="Times New Roman" w:cs="Times New Roman"/>
          <w:sz w:val="28"/>
          <w:szCs w:val="28"/>
          <w:lang w:eastAsia="ru-RU"/>
        </w:rPr>
        <w:t>Сложившуюся проблему ликвидации аварийного жилищного фонда эффективно планируется решить путем строительства нового жилья,</w:t>
      </w:r>
      <w:r w:rsidRPr="00EC20F8">
        <w:rPr>
          <w:rFonts w:ascii="Times New Roman" w:eastAsia="Calibri" w:hAnsi="Times New Roman" w:cs="Times New Roman"/>
          <w:sz w:val="28"/>
          <w:szCs w:val="28"/>
        </w:rPr>
        <w:t xml:space="preserve"> в том числе экономического класса. </w:t>
      </w:r>
    </w:p>
    <w:p w:rsidR="00905D0F" w:rsidRPr="00EC20F8" w:rsidRDefault="00905D0F" w:rsidP="00905D0F">
      <w:pPr>
        <w:autoSpaceDE w:val="0"/>
        <w:autoSpaceDN w:val="0"/>
        <w:adjustRightInd w:val="0"/>
        <w:spacing w:line="240" w:lineRule="auto"/>
        <w:ind w:firstLine="708"/>
        <w:jc w:val="both"/>
        <w:rPr>
          <w:rFonts w:ascii="Times New Roman" w:eastAsia="Calibri" w:hAnsi="Times New Roman" w:cs="Times New Roman"/>
          <w:sz w:val="28"/>
          <w:szCs w:val="28"/>
        </w:rPr>
      </w:pPr>
      <w:proofErr w:type="gramStart"/>
      <w:r w:rsidRPr="00EC20F8">
        <w:rPr>
          <w:rFonts w:ascii="Times New Roman" w:eastAsia="Calibri" w:hAnsi="Times New Roman" w:cs="Times New Roman"/>
          <w:sz w:val="28"/>
          <w:szCs w:val="28"/>
        </w:rPr>
        <w:t xml:space="preserve">В рамках </w:t>
      </w:r>
      <w:hyperlink r:id="rId38" w:history="1">
        <w:r w:rsidRPr="00EC20F8">
          <w:rPr>
            <w:rFonts w:ascii="Times New Roman" w:hAnsi="Times New Roman" w:cs="Times New Roman"/>
            <w:sz w:val="28"/>
            <w:szCs w:val="28"/>
          </w:rPr>
          <w:t>подпрограммы 2</w:t>
        </w:r>
      </w:hyperlink>
      <w:r w:rsidRPr="00EC20F8">
        <w:rPr>
          <w:rFonts w:ascii="Times New Roman" w:hAnsi="Times New Roman" w:cs="Times New Roman"/>
          <w:sz w:val="28"/>
          <w:szCs w:val="28"/>
        </w:rPr>
        <w:t xml:space="preserve"> «Повышение устойчивости жилых домов, основных объектов и систем жизнеобеспечения в Камчатском крае» государственной программы Камчатского края «Обеспечение доступным и комфортным жильем жителей Камчатского края на 2014-2018 годы»</w:t>
      </w:r>
      <w:r w:rsidRPr="00EC20F8">
        <w:rPr>
          <w:rFonts w:ascii="Times New Roman" w:eastAsia="Calibri" w:hAnsi="Times New Roman" w:cs="Times New Roman"/>
          <w:sz w:val="28"/>
          <w:szCs w:val="28"/>
        </w:rPr>
        <w:t>:</w:t>
      </w:r>
      <w:proofErr w:type="gramEnd"/>
    </w:p>
    <w:p w:rsidR="00905D0F" w:rsidRPr="00EC20F8" w:rsidRDefault="00905D0F" w:rsidP="00905D0F">
      <w:pPr>
        <w:ind w:left="33" w:right="34" w:firstLine="676"/>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xml:space="preserve">- проведены работы по </w:t>
      </w:r>
      <w:proofErr w:type="spellStart"/>
      <w:r w:rsidRPr="00EC20F8">
        <w:rPr>
          <w:rFonts w:ascii="Times New Roman" w:eastAsia="Calibri" w:hAnsi="Times New Roman" w:cs="Times New Roman"/>
          <w:sz w:val="28"/>
          <w:szCs w:val="28"/>
        </w:rPr>
        <w:t>сейсмоусилению</w:t>
      </w:r>
      <w:proofErr w:type="spellEnd"/>
      <w:r w:rsidRPr="00EC20F8">
        <w:rPr>
          <w:rFonts w:ascii="Times New Roman" w:eastAsia="Calibri" w:hAnsi="Times New Roman" w:cs="Times New Roman"/>
          <w:sz w:val="28"/>
          <w:szCs w:val="28"/>
        </w:rPr>
        <w:t xml:space="preserve"> четырех жилых домов по ул. Автомобилистов, 1; Тушканова, 3, 7 и проспекту 50 лет Октября, 28;</w:t>
      </w:r>
    </w:p>
    <w:p w:rsidR="00905D0F" w:rsidRPr="00EC20F8" w:rsidRDefault="00905D0F" w:rsidP="00905D0F">
      <w:pPr>
        <w:ind w:left="33" w:right="34" w:firstLine="676"/>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завершилось строительство двух жилых домов, предназначенных для расселения общежитий по ул. Лермонтова, 24А и обеспечения жильем отдельных категорий граждан (после оформления необходимых документов в новые квартиры перейдут 118 семей);</w:t>
      </w:r>
    </w:p>
    <w:p w:rsidR="00905D0F" w:rsidRPr="00EC20F8" w:rsidRDefault="00905D0F" w:rsidP="00905D0F">
      <w:pPr>
        <w:ind w:left="33" w:right="34" w:firstLine="676"/>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планируется завершить основной объем работ по строительству второй очереди микрорайона в районе Северо-Восточного шоссе (сдать 12 новых жилых домов на 540 квартир): до конца 2014 году – 5 домов, в 2015 году – 7 домов;</w:t>
      </w:r>
    </w:p>
    <w:p w:rsidR="00905D0F" w:rsidRPr="00EC20F8" w:rsidRDefault="00905D0F" w:rsidP="00905D0F">
      <w:pPr>
        <w:ind w:left="33" w:right="34" w:firstLine="676"/>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xml:space="preserve">- в 2014 году начато строительство  шести жилых домов в районе </w:t>
      </w:r>
      <w:proofErr w:type="spellStart"/>
      <w:r w:rsidRPr="00EC20F8">
        <w:rPr>
          <w:rFonts w:ascii="Times New Roman" w:eastAsia="Calibri" w:hAnsi="Times New Roman" w:cs="Times New Roman"/>
          <w:sz w:val="28"/>
          <w:szCs w:val="28"/>
        </w:rPr>
        <w:t>Северо-Востока</w:t>
      </w:r>
      <w:proofErr w:type="spellEnd"/>
      <w:r w:rsidRPr="00EC20F8">
        <w:rPr>
          <w:rFonts w:ascii="Times New Roman" w:eastAsia="Calibri" w:hAnsi="Times New Roman" w:cs="Times New Roman"/>
          <w:sz w:val="28"/>
          <w:szCs w:val="28"/>
        </w:rPr>
        <w:t xml:space="preserve"> на 353 квартир ввод в эксплуатацию которых планируется </w:t>
      </w:r>
      <w:proofErr w:type="gramStart"/>
      <w:r w:rsidRPr="00EC20F8">
        <w:rPr>
          <w:rFonts w:ascii="Times New Roman" w:eastAsia="Calibri" w:hAnsi="Times New Roman" w:cs="Times New Roman"/>
          <w:sz w:val="28"/>
          <w:szCs w:val="28"/>
        </w:rPr>
        <w:t>на конец</w:t>
      </w:r>
      <w:proofErr w:type="gramEnd"/>
      <w:r w:rsidRPr="00EC20F8">
        <w:rPr>
          <w:rFonts w:ascii="Times New Roman" w:eastAsia="Calibri" w:hAnsi="Times New Roman" w:cs="Times New Roman"/>
          <w:sz w:val="28"/>
          <w:szCs w:val="28"/>
        </w:rPr>
        <w:t xml:space="preserve"> 2015 года.</w:t>
      </w:r>
    </w:p>
    <w:p w:rsidR="00905D0F" w:rsidRPr="00EC20F8" w:rsidRDefault="00905D0F" w:rsidP="00905D0F">
      <w:pPr>
        <w:ind w:left="33" w:right="34" w:firstLine="676"/>
        <w:jc w:val="both"/>
        <w:rPr>
          <w:rFonts w:ascii="Times New Roman" w:eastAsia="Calibri" w:hAnsi="Times New Roman" w:cs="Times New Roman"/>
          <w:sz w:val="28"/>
          <w:szCs w:val="28"/>
        </w:rPr>
      </w:pPr>
      <w:proofErr w:type="gramStart"/>
      <w:r w:rsidRPr="00EC20F8">
        <w:rPr>
          <w:rFonts w:ascii="Times New Roman" w:eastAsia="Calibri" w:hAnsi="Times New Roman" w:cs="Times New Roman"/>
          <w:sz w:val="28"/>
          <w:szCs w:val="28"/>
        </w:rPr>
        <w:t>Для ликвидации существующего на данный момент аварийного жилищного фонда, признанного таковым в установленном законодательством порядке, и</w:t>
      </w:r>
      <w:r w:rsidRPr="00EC20F8">
        <w:rPr>
          <w:rFonts w:ascii="Times New Roman" w:eastAsia="Calibri" w:hAnsi="Times New Roman" w:cs="Times New Roman"/>
          <w:sz w:val="28"/>
          <w:szCs w:val="28"/>
          <w:lang w:eastAsia="ru-RU"/>
        </w:rPr>
        <w:t xml:space="preserve"> переселения граждан</w:t>
      </w:r>
      <w:r w:rsidRPr="00EC20F8">
        <w:rPr>
          <w:rFonts w:ascii="Times New Roman" w:eastAsia="Calibri" w:hAnsi="Times New Roman" w:cs="Times New Roman"/>
          <w:sz w:val="28"/>
          <w:szCs w:val="28"/>
        </w:rPr>
        <w:t xml:space="preserve"> </w:t>
      </w:r>
      <w:r w:rsidRPr="00EC20F8">
        <w:rPr>
          <w:rFonts w:ascii="Times New Roman" w:eastAsia="Calibri" w:hAnsi="Times New Roman" w:cs="Times New Roman"/>
          <w:sz w:val="28"/>
          <w:szCs w:val="28"/>
          <w:lang w:eastAsia="ru-RU"/>
        </w:rPr>
        <w:t>в благоустроенные жилые помещения, соответствующие установленным санитарным и техническим правилам и нормам,</w:t>
      </w:r>
      <w:r w:rsidRPr="00EC20F8">
        <w:rPr>
          <w:rFonts w:ascii="Times New Roman" w:eastAsia="Calibri" w:hAnsi="Times New Roman" w:cs="Times New Roman"/>
          <w:sz w:val="28"/>
          <w:szCs w:val="28"/>
        </w:rPr>
        <w:t xml:space="preserve"> необходимо ввести в строй 10 жилых                      90-квартирных домов.</w:t>
      </w:r>
      <w:proofErr w:type="gramEnd"/>
      <w:r w:rsidRPr="00EC20F8">
        <w:rPr>
          <w:rFonts w:ascii="Times New Roman" w:eastAsia="Calibri" w:hAnsi="Times New Roman" w:cs="Times New Roman"/>
          <w:sz w:val="28"/>
          <w:szCs w:val="28"/>
        </w:rPr>
        <w:t xml:space="preserve"> </w:t>
      </w:r>
      <w:proofErr w:type="gramStart"/>
      <w:r w:rsidRPr="00EC20F8">
        <w:rPr>
          <w:rFonts w:ascii="Times New Roman" w:eastAsia="Calibri" w:hAnsi="Times New Roman" w:cs="Times New Roman"/>
          <w:sz w:val="28"/>
          <w:szCs w:val="28"/>
          <w:lang w:eastAsia="ru-RU"/>
        </w:rPr>
        <w:t xml:space="preserve">В целях стимулирования развития жилищного строительства администрацией городского округа </w:t>
      </w:r>
      <w:r w:rsidRPr="00EC20F8">
        <w:rPr>
          <w:rFonts w:ascii="Times New Roman" w:eastAsia="Calibri" w:hAnsi="Times New Roman" w:cs="Times New Roman"/>
          <w:sz w:val="28"/>
          <w:szCs w:val="28"/>
        </w:rPr>
        <w:t>осуществляются мероприятия</w:t>
      </w:r>
      <w:r w:rsidRPr="00EC20F8">
        <w:rPr>
          <w:rFonts w:ascii="Times New Roman" w:eastAsia="Calibri" w:hAnsi="Times New Roman" w:cs="Times New Roman"/>
          <w:sz w:val="28"/>
          <w:szCs w:val="28"/>
          <w:lang w:eastAsia="ru-RU"/>
        </w:rPr>
        <w:t xml:space="preserve"> по </w:t>
      </w:r>
      <w:r w:rsidRPr="00EC20F8">
        <w:rPr>
          <w:rFonts w:ascii="Times New Roman" w:eastAsia="Calibri" w:hAnsi="Times New Roman" w:cs="Times New Roman"/>
          <w:sz w:val="28"/>
          <w:szCs w:val="28"/>
        </w:rPr>
        <w:t>разработке проектов планировки застроенных и новых территорий городского округа, по обеспечению застраиваемых земельных участков коммунальной инфраструктурой.</w:t>
      </w:r>
      <w:proofErr w:type="gramEnd"/>
    </w:p>
    <w:p w:rsidR="00905D0F" w:rsidRPr="00EC20F8" w:rsidRDefault="00905D0F" w:rsidP="00905D0F">
      <w:pPr>
        <w:tabs>
          <w:tab w:val="left" w:pos="0"/>
        </w:tabs>
        <w:spacing w:line="240" w:lineRule="auto"/>
        <w:ind w:firstLine="709"/>
        <w:contextualSpacing/>
        <w:jc w:val="both"/>
        <w:rPr>
          <w:rFonts w:ascii="Times New Roman" w:eastAsia="Calibri" w:hAnsi="Times New Roman" w:cs="Times New Roman"/>
          <w:sz w:val="28"/>
          <w:szCs w:val="28"/>
        </w:rPr>
      </w:pPr>
      <w:proofErr w:type="gramStart"/>
      <w:r w:rsidRPr="00EC20F8">
        <w:rPr>
          <w:rFonts w:ascii="Times New Roman" w:eastAsia="Calibri" w:hAnsi="Times New Roman" w:cs="Times New Roman"/>
          <w:sz w:val="28"/>
          <w:szCs w:val="28"/>
        </w:rPr>
        <w:t xml:space="preserve">Одним из направлений политики администрации </w:t>
      </w:r>
      <w:r w:rsidRPr="00EC20F8">
        <w:rPr>
          <w:rFonts w:ascii="Times New Roman" w:eastAsia="Calibri" w:hAnsi="Times New Roman" w:cs="Times New Roman"/>
          <w:sz w:val="28"/>
          <w:szCs w:val="28"/>
          <w:lang w:eastAsia="ru-RU"/>
        </w:rPr>
        <w:t xml:space="preserve">городского округа                 </w:t>
      </w:r>
      <w:r w:rsidRPr="00EC20F8">
        <w:rPr>
          <w:rFonts w:ascii="Times New Roman" w:eastAsia="Calibri" w:hAnsi="Times New Roman" w:cs="Times New Roman"/>
          <w:sz w:val="28"/>
          <w:szCs w:val="28"/>
        </w:rPr>
        <w:t>в рамках исполнения требований жилищного законодательства является реализация прав собственников жилых помещений в выборе способа управления многоквартирными домами.</w:t>
      </w:r>
      <w:proofErr w:type="gramEnd"/>
      <w:r w:rsidRPr="00EC20F8">
        <w:rPr>
          <w:rFonts w:ascii="Times New Roman" w:eastAsia="Calibri" w:hAnsi="Times New Roman" w:cs="Times New Roman"/>
          <w:sz w:val="28"/>
          <w:szCs w:val="28"/>
        </w:rPr>
        <w:t xml:space="preserve"> По состоянию на 01.01.2014 на территории городского округа в 223 многоквартирных домах (далее – МКД) созданы товарищества собственников жилья (далее – ТСЖ), 2 458 МКД находятся в управлении управляющих организаций, в 29 МКД в качестве способа управления собственниками выбран способ непосредственного управления. В результате активизации собственников помещений в многоквартирных домах по итогам 2013 года в ведении управляющих организаций частной формы собственности находится 3 419,6 тыс. кв. метров жилищного фонда, что на 3,55 % больше, чем по состоянию на 01.01.2013. </w:t>
      </w:r>
    </w:p>
    <w:p w:rsidR="00905D0F" w:rsidRPr="00EC20F8" w:rsidRDefault="00905D0F" w:rsidP="00905D0F">
      <w:pPr>
        <w:tabs>
          <w:tab w:val="left" w:pos="0"/>
        </w:tabs>
        <w:ind w:right="-5"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xml:space="preserve">Для реализации выбора способа управления МКД в полном объеме администрацией </w:t>
      </w:r>
      <w:r w:rsidRPr="00EC20F8">
        <w:rPr>
          <w:rFonts w:ascii="Times New Roman" w:eastAsia="Calibri" w:hAnsi="Times New Roman" w:cs="Times New Roman"/>
          <w:sz w:val="28"/>
          <w:szCs w:val="28"/>
          <w:lang w:eastAsia="ru-RU"/>
        </w:rPr>
        <w:t>городского округа</w:t>
      </w:r>
      <w:r w:rsidRPr="00EC20F8">
        <w:rPr>
          <w:rFonts w:ascii="Times New Roman" w:eastAsia="Calibri" w:hAnsi="Times New Roman" w:cs="Times New Roman"/>
          <w:sz w:val="28"/>
          <w:szCs w:val="28"/>
        </w:rPr>
        <w:t xml:space="preserve">: </w:t>
      </w:r>
    </w:p>
    <w:p w:rsidR="00905D0F" w:rsidRPr="00EC20F8" w:rsidRDefault="00905D0F" w:rsidP="00905D0F">
      <w:pPr>
        <w:numPr>
          <w:ilvl w:val="0"/>
          <w:numId w:val="2"/>
        </w:numPr>
        <w:tabs>
          <w:tab w:val="left" w:pos="0"/>
        </w:tabs>
        <w:ind w:right="-5" w:firstLine="709"/>
        <w:jc w:val="both"/>
        <w:rPr>
          <w:rFonts w:ascii="Times New Roman" w:eastAsia="Calibri" w:hAnsi="Times New Roman" w:cs="Times New Roman"/>
          <w:sz w:val="28"/>
          <w:szCs w:val="28"/>
        </w:rPr>
      </w:pPr>
      <w:proofErr w:type="gramStart"/>
      <w:r w:rsidRPr="00EC20F8">
        <w:rPr>
          <w:rFonts w:ascii="Times New Roman" w:eastAsia="Calibri" w:hAnsi="Times New Roman" w:cs="Times New Roman"/>
          <w:sz w:val="28"/>
          <w:szCs w:val="28"/>
        </w:rPr>
        <w:t>осуществляется организация и проведение конкурсов по отбору управляющих организаций для управления многоквартирными домами, собственниками помещений в которых не выбран способ управления, или принятое собственниками помещений решение не реализовано в установленном законом порядке;</w:t>
      </w:r>
      <w:proofErr w:type="gramEnd"/>
    </w:p>
    <w:p w:rsidR="00905D0F" w:rsidRPr="00EC20F8" w:rsidRDefault="00905D0F" w:rsidP="00905D0F">
      <w:pPr>
        <w:numPr>
          <w:ilvl w:val="0"/>
          <w:numId w:val="2"/>
        </w:numPr>
        <w:tabs>
          <w:tab w:val="left" w:pos="0"/>
        </w:tabs>
        <w:ind w:firstLine="709"/>
        <w:jc w:val="both"/>
        <w:rPr>
          <w:rFonts w:ascii="Times New Roman" w:eastAsia="Calibri" w:hAnsi="Times New Roman" w:cs="Times New Roman"/>
          <w:sz w:val="28"/>
          <w:szCs w:val="28"/>
        </w:rPr>
      </w:pPr>
      <w:proofErr w:type="gramStart"/>
      <w:r w:rsidRPr="00EC20F8">
        <w:rPr>
          <w:rFonts w:ascii="Times New Roman" w:eastAsia="Calibri" w:hAnsi="Times New Roman" w:cs="Times New Roman"/>
          <w:sz w:val="28"/>
          <w:szCs w:val="28"/>
        </w:rPr>
        <w:t>постоянно проводится информационно-разъяснительная работа среди собственников помещений в многоквартирных домах с предоставлением методических материалов, способствующих образованию и деятельности товариществ собственников жилья, производится обобщение и систематизация лучшей практики по созданию и деятельности ТСЖ.</w:t>
      </w:r>
      <w:proofErr w:type="gramEnd"/>
    </w:p>
    <w:p w:rsidR="00905D0F" w:rsidRPr="00EC20F8" w:rsidRDefault="00905D0F" w:rsidP="00905D0F">
      <w:pPr>
        <w:tabs>
          <w:tab w:val="left" w:pos="0"/>
        </w:tabs>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xml:space="preserve">В городском округе создана конкурентная среда в сфере управления и эксплуатации жилья. Существует и развивается рынок профессиональных управляющих в области эксплуатации и обслуживания жилищного фонда. На территории городского округа услуги по управлению многоквартирными домами оказывают 37 организаций, из них 36 организаций частной формы собственности. </w:t>
      </w:r>
    </w:p>
    <w:p w:rsidR="00905D0F" w:rsidRPr="00EC20F8" w:rsidRDefault="00905D0F" w:rsidP="00905D0F">
      <w:pPr>
        <w:ind w:firstLine="708"/>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Доля организаций частной формы собственности, оказывающих услуги по управлению многоквартирными домами, в 2013 году составила 97,3 %, что выше уровня 2012 года на 2,1 %. Услуги по содержанию и ремонту общего имущества в многоквартирных домах оказывают 22 организации, из которых частных – 21 единиц (95,4 %).</w:t>
      </w:r>
    </w:p>
    <w:p w:rsidR="00905D0F" w:rsidRPr="00EC20F8" w:rsidRDefault="00905D0F" w:rsidP="00905D0F">
      <w:pPr>
        <w:autoSpaceDE w:val="0"/>
        <w:autoSpaceDN w:val="0"/>
        <w:adjustRightInd w:val="0"/>
        <w:spacing w:line="240" w:lineRule="auto"/>
        <w:ind w:firstLine="709"/>
        <w:jc w:val="both"/>
        <w:rPr>
          <w:rFonts w:ascii="Times New Roman" w:eastAsia="Calibri" w:hAnsi="Times New Roman" w:cs="Times New Roman"/>
          <w:sz w:val="28"/>
          <w:szCs w:val="28"/>
        </w:rPr>
      </w:pPr>
      <w:proofErr w:type="gramStart"/>
      <w:r w:rsidRPr="00EC20F8">
        <w:rPr>
          <w:rFonts w:ascii="Times New Roman" w:eastAsia="Calibri" w:hAnsi="Times New Roman" w:cs="Times New Roman"/>
          <w:sz w:val="28"/>
          <w:szCs w:val="28"/>
        </w:rPr>
        <w:t xml:space="preserve">Внедрению таких форм управления жилищным фондом как ТСЖ и непосредственное управление препятствуют следующие факторы: большая часть МКД не ремонтировались на протяжении 30-40 лет, высокая дифференциация жителей по уровню дохода, пассивность населения, недоверие к вновь выходящим на рынок услуг управляющим компаниям. </w:t>
      </w:r>
      <w:proofErr w:type="gramEnd"/>
    </w:p>
    <w:p w:rsidR="00905D0F" w:rsidRPr="00EC20F8" w:rsidRDefault="00905D0F" w:rsidP="00905D0F">
      <w:pPr>
        <w:autoSpaceDE w:val="0"/>
        <w:autoSpaceDN w:val="0"/>
        <w:adjustRightInd w:val="0"/>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xml:space="preserve">По данным статистики, стоимость предоставленных населению жилищно-коммунальных услуг, рассчитанная по экономически обоснованным тарифам, за 2013 год составила 10 526,55 </w:t>
      </w:r>
      <w:proofErr w:type="spellStart"/>
      <w:proofErr w:type="gramStart"/>
      <w:r w:rsidRPr="00EC20F8">
        <w:rPr>
          <w:rFonts w:ascii="Times New Roman" w:eastAsia="Calibri" w:hAnsi="Times New Roman" w:cs="Times New Roman"/>
          <w:sz w:val="28"/>
          <w:szCs w:val="28"/>
        </w:rPr>
        <w:t>млн</w:t>
      </w:r>
      <w:proofErr w:type="spellEnd"/>
      <w:proofErr w:type="gramEnd"/>
      <w:r w:rsidRPr="00EC20F8">
        <w:rPr>
          <w:rFonts w:ascii="Times New Roman" w:eastAsia="Calibri" w:hAnsi="Times New Roman" w:cs="Times New Roman"/>
          <w:sz w:val="28"/>
          <w:szCs w:val="28"/>
        </w:rPr>
        <w:t xml:space="preserve"> рублей, оценка 2014 года составляет 12 245,62 </w:t>
      </w:r>
      <w:proofErr w:type="spellStart"/>
      <w:r w:rsidRPr="00EC20F8">
        <w:rPr>
          <w:rFonts w:ascii="Times New Roman" w:eastAsia="Calibri" w:hAnsi="Times New Roman" w:cs="Times New Roman"/>
          <w:sz w:val="28"/>
          <w:szCs w:val="28"/>
        </w:rPr>
        <w:t>млн</w:t>
      </w:r>
      <w:proofErr w:type="spellEnd"/>
      <w:r w:rsidRPr="00EC20F8">
        <w:rPr>
          <w:rFonts w:ascii="Times New Roman" w:eastAsia="Calibri" w:hAnsi="Times New Roman" w:cs="Times New Roman"/>
          <w:sz w:val="28"/>
          <w:szCs w:val="28"/>
        </w:rPr>
        <w:t xml:space="preserve"> рублей.</w:t>
      </w:r>
    </w:p>
    <w:p w:rsidR="00905D0F" w:rsidRPr="00EC20F8" w:rsidRDefault="00905D0F" w:rsidP="00905D0F">
      <w:pPr>
        <w:autoSpaceDE w:val="0"/>
        <w:autoSpaceDN w:val="0"/>
        <w:adjustRightInd w:val="0"/>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Рост предоставляемых населению жилищно-коммунальных услуг связан с объективными причинами роста экономически обоснованного тарифа предприятий жилищно-коммунального комплекса.</w:t>
      </w:r>
    </w:p>
    <w:p w:rsidR="00905D0F" w:rsidRPr="00EC20F8" w:rsidRDefault="00905D0F" w:rsidP="00905D0F">
      <w:pPr>
        <w:autoSpaceDE w:val="0"/>
        <w:autoSpaceDN w:val="0"/>
        <w:adjustRightInd w:val="0"/>
        <w:spacing w:line="240" w:lineRule="auto"/>
        <w:ind w:firstLine="709"/>
        <w:jc w:val="both"/>
        <w:rPr>
          <w:rFonts w:ascii="Times New Roman" w:eastAsia="Calibri" w:hAnsi="Times New Roman" w:cs="Times New Roman"/>
          <w:sz w:val="28"/>
          <w:szCs w:val="28"/>
        </w:rPr>
      </w:pPr>
      <w:proofErr w:type="gramStart"/>
      <w:r w:rsidRPr="00EC20F8">
        <w:rPr>
          <w:rFonts w:ascii="Times New Roman" w:eastAsia="Calibri" w:hAnsi="Times New Roman" w:cs="Times New Roman"/>
          <w:sz w:val="28"/>
          <w:szCs w:val="28"/>
        </w:rPr>
        <w:t xml:space="preserve">С 01.07.2013, в соответствии со статьей 156 Жилищного кодекса Российской Федерации, Администрацией Петропавловск-Камчатского городского округа установлен размер платы за жилое помещение </w:t>
      </w:r>
      <w:r w:rsidRPr="00EC20F8">
        <w:rPr>
          <w:rFonts w:ascii="Times New Roman" w:hAnsi="Times New Roman" w:cs="Times New Roman"/>
          <w:sz w:val="28"/>
          <w:szCs w:val="28"/>
        </w:rPr>
        <w:t>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в размере</w:t>
      </w:r>
      <w:r w:rsidRPr="00EC20F8">
        <w:rPr>
          <w:rFonts w:ascii="Times New Roman" w:eastAsia="Calibri" w:hAnsi="Times New Roman" w:cs="Times New Roman"/>
          <w:sz w:val="28"/>
          <w:szCs w:val="28"/>
        </w:rPr>
        <w:t xml:space="preserve"> 47,46 рублей в месяц за 1 квадратный метр общей площади жилого помещения (постановление администрации Петропавловск-Камчатского городского округа от 01.07.2013</w:t>
      </w:r>
      <w:proofErr w:type="gramEnd"/>
      <w:r w:rsidRPr="00EC20F8">
        <w:rPr>
          <w:rFonts w:ascii="Times New Roman" w:eastAsia="Calibri" w:hAnsi="Times New Roman" w:cs="Times New Roman"/>
          <w:sz w:val="28"/>
          <w:szCs w:val="28"/>
        </w:rPr>
        <w:t xml:space="preserve"> № 1897).</w:t>
      </w:r>
    </w:p>
    <w:p w:rsidR="00905D0F" w:rsidRPr="00EC20F8" w:rsidRDefault="00905D0F" w:rsidP="00905D0F">
      <w:pPr>
        <w:autoSpaceDE w:val="0"/>
        <w:autoSpaceDN w:val="0"/>
        <w:adjustRightInd w:val="0"/>
        <w:spacing w:line="240" w:lineRule="auto"/>
        <w:ind w:firstLine="709"/>
        <w:jc w:val="both"/>
        <w:rPr>
          <w:rFonts w:ascii="Times New Roman" w:eastAsia="Calibri" w:hAnsi="Times New Roman" w:cs="Times New Roman"/>
          <w:sz w:val="28"/>
          <w:szCs w:val="28"/>
        </w:rPr>
      </w:pPr>
      <w:proofErr w:type="gramStart"/>
      <w:r w:rsidRPr="00EC20F8">
        <w:rPr>
          <w:rFonts w:ascii="Times New Roman" w:eastAsia="Calibri" w:hAnsi="Times New Roman" w:cs="Times New Roman"/>
          <w:sz w:val="28"/>
          <w:szCs w:val="28"/>
        </w:rPr>
        <w:t>В общей структуре жилищно-коммунальных платежей размер платы за жилое помещение в 2013 составлял 21,2%. Тарифная политика администрации городского округа в части установления размера платы за жилое помещение направлена на сдерживание роста размера платы за жилое помещение на уровне роста потребительских цен.</w:t>
      </w:r>
      <w:proofErr w:type="gramEnd"/>
    </w:p>
    <w:p w:rsidR="00905D0F" w:rsidRPr="00EC20F8" w:rsidRDefault="00905D0F" w:rsidP="00905D0F">
      <w:pPr>
        <w:autoSpaceDE w:val="0"/>
        <w:autoSpaceDN w:val="0"/>
        <w:adjustRightInd w:val="0"/>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В 2013 году рост размера платы за жилое помещение по отношению к 2012 году составил 7,8%.</w:t>
      </w:r>
    </w:p>
    <w:p w:rsidR="00905D0F" w:rsidRPr="00EC20F8" w:rsidRDefault="00905D0F" w:rsidP="00905D0F">
      <w:pPr>
        <w:autoSpaceDE w:val="0"/>
        <w:autoSpaceDN w:val="0"/>
        <w:adjustRightInd w:val="0"/>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xml:space="preserve">В 2013 году совокупный размер платы за жилое помещение и коммунальные услуги в расчете на 1 квадратный метр общей площади жилого помещения составил 223,70 рублей в месяц, что на 7,8% выше уровня 2012 года. </w:t>
      </w:r>
    </w:p>
    <w:p w:rsidR="00905D0F" w:rsidRPr="00EC20F8" w:rsidRDefault="00905D0F" w:rsidP="00905D0F">
      <w:pPr>
        <w:autoSpaceDE w:val="0"/>
        <w:autoSpaceDN w:val="0"/>
        <w:adjustRightInd w:val="0"/>
        <w:spacing w:line="240" w:lineRule="auto"/>
        <w:ind w:firstLine="709"/>
        <w:jc w:val="both"/>
        <w:rPr>
          <w:rFonts w:ascii="Times New Roman" w:eastAsia="Calibri" w:hAnsi="Times New Roman" w:cs="Times New Roman"/>
          <w:sz w:val="28"/>
          <w:szCs w:val="28"/>
        </w:rPr>
      </w:pPr>
      <w:proofErr w:type="gramStart"/>
      <w:r w:rsidRPr="00EC20F8">
        <w:rPr>
          <w:rFonts w:ascii="Times New Roman" w:eastAsia="Calibri" w:hAnsi="Times New Roman" w:cs="Times New Roman"/>
          <w:sz w:val="28"/>
          <w:szCs w:val="28"/>
        </w:rPr>
        <w:t>Уровень роста тарифа по отоплению соответствует установленному Региональной службой по тарифам и ценам Камчатского края предельному уровню изменения размера платы граждан за отопление по Петропавловск-Камчатского городскому округу на 2013 год (постановление Региональной службы по тарифам и ценам Камчатского края от 07.05.2013 № 94).</w:t>
      </w:r>
      <w:proofErr w:type="gramEnd"/>
    </w:p>
    <w:p w:rsidR="00905D0F" w:rsidRPr="00EC20F8" w:rsidRDefault="00905D0F" w:rsidP="00905D0F">
      <w:pPr>
        <w:autoSpaceDE w:val="0"/>
        <w:autoSpaceDN w:val="0"/>
        <w:adjustRightInd w:val="0"/>
        <w:spacing w:line="240" w:lineRule="auto"/>
        <w:ind w:firstLine="709"/>
        <w:jc w:val="center"/>
        <w:rPr>
          <w:rFonts w:ascii="Times New Roman" w:eastAsia="Calibri" w:hAnsi="Times New Roman" w:cs="Times New Roman"/>
          <w:sz w:val="24"/>
          <w:szCs w:val="24"/>
        </w:rPr>
      </w:pPr>
      <w:r w:rsidRPr="00EC20F8">
        <w:rPr>
          <w:rFonts w:ascii="Times New Roman" w:eastAsia="Calibri" w:hAnsi="Times New Roman" w:cs="Times New Roman"/>
          <w:sz w:val="24"/>
          <w:szCs w:val="24"/>
        </w:rPr>
        <w:t>Динамика изменения размера платы за жилое помещение и коммунальные услуги для среднего многоквартирного дома с централизованным горячим водоснабжением при закрытой системе теплоснабжения</w:t>
      </w:r>
    </w:p>
    <w:p w:rsidR="00905D0F" w:rsidRPr="00EC20F8" w:rsidRDefault="00905D0F" w:rsidP="00905D0F">
      <w:pPr>
        <w:autoSpaceDE w:val="0"/>
        <w:autoSpaceDN w:val="0"/>
        <w:adjustRightInd w:val="0"/>
        <w:spacing w:line="240" w:lineRule="auto"/>
        <w:ind w:firstLine="709"/>
        <w:jc w:val="center"/>
        <w:rPr>
          <w:rFonts w:ascii="Times New Roman" w:eastAsia="Calibri" w:hAnsi="Times New Roman" w:cs="Times New Roman"/>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8"/>
        <w:gridCol w:w="2320"/>
        <w:gridCol w:w="1042"/>
        <w:gridCol w:w="1244"/>
        <w:gridCol w:w="1339"/>
        <w:gridCol w:w="1966"/>
        <w:gridCol w:w="1102"/>
      </w:tblGrid>
      <w:tr w:rsidR="00905D0F" w:rsidRPr="00EC20F8" w:rsidTr="009A5AA2">
        <w:trPr>
          <w:trHeight w:hRule="exact" w:val="583"/>
          <w:tblHeader/>
          <w:jc w:val="center"/>
        </w:trPr>
        <w:tc>
          <w:tcPr>
            <w:tcW w:w="558" w:type="dxa"/>
            <w:vMerge w:val="restart"/>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 xml:space="preserve">№ </w:t>
            </w:r>
            <w:proofErr w:type="spellStart"/>
            <w:proofErr w:type="gramStart"/>
            <w:r w:rsidRPr="00EC20F8">
              <w:rPr>
                <w:rFonts w:ascii="Times New Roman" w:eastAsia="Calibri" w:hAnsi="Times New Roman" w:cs="Times New Roman"/>
              </w:rPr>
              <w:t>п</w:t>
            </w:r>
            <w:proofErr w:type="spellEnd"/>
            <w:proofErr w:type="gramEnd"/>
            <w:r w:rsidRPr="00EC20F8">
              <w:rPr>
                <w:rFonts w:ascii="Times New Roman" w:eastAsia="Calibri" w:hAnsi="Times New Roman" w:cs="Times New Roman"/>
              </w:rPr>
              <w:t>/</w:t>
            </w:r>
            <w:proofErr w:type="spellStart"/>
            <w:r w:rsidRPr="00EC20F8">
              <w:rPr>
                <w:rFonts w:ascii="Times New Roman" w:eastAsia="Calibri" w:hAnsi="Times New Roman" w:cs="Times New Roman"/>
              </w:rPr>
              <w:t>п</w:t>
            </w:r>
            <w:proofErr w:type="spellEnd"/>
          </w:p>
        </w:tc>
        <w:tc>
          <w:tcPr>
            <w:tcW w:w="2320" w:type="dxa"/>
            <w:vMerge w:val="restart"/>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Вид услуги</w:t>
            </w:r>
          </w:p>
        </w:tc>
        <w:tc>
          <w:tcPr>
            <w:tcW w:w="6693" w:type="dxa"/>
            <w:gridSpan w:val="5"/>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Плата в рублях за 1 квадратный метр общей площади жилого помещения в месяц (с НДС)</w:t>
            </w:r>
          </w:p>
        </w:tc>
      </w:tr>
      <w:tr w:rsidR="00905D0F" w:rsidRPr="00EC20F8" w:rsidTr="009A5AA2">
        <w:trPr>
          <w:trHeight w:val="982"/>
          <w:tblHeader/>
          <w:jc w:val="center"/>
        </w:trPr>
        <w:tc>
          <w:tcPr>
            <w:tcW w:w="558" w:type="dxa"/>
            <w:vMerge/>
            <w:vAlign w:val="center"/>
          </w:tcPr>
          <w:p w:rsidR="00905D0F" w:rsidRPr="00EC20F8" w:rsidRDefault="00905D0F" w:rsidP="009A5AA2">
            <w:pPr>
              <w:jc w:val="center"/>
              <w:rPr>
                <w:rFonts w:ascii="Times New Roman" w:eastAsia="Calibri" w:hAnsi="Times New Roman" w:cs="Times New Roman"/>
              </w:rPr>
            </w:pPr>
          </w:p>
        </w:tc>
        <w:tc>
          <w:tcPr>
            <w:tcW w:w="2320" w:type="dxa"/>
            <w:vMerge/>
            <w:vAlign w:val="center"/>
          </w:tcPr>
          <w:p w:rsidR="00905D0F" w:rsidRPr="00EC20F8" w:rsidRDefault="00905D0F" w:rsidP="009A5AA2">
            <w:pPr>
              <w:jc w:val="center"/>
              <w:rPr>
                <w:rFonts w:ascii="Times New Roman" w:eastAsia="Calibri" w:hAnsi="Times New Roman" w:cs="Times New Roman"/>
              </w:rPr>
            </w:pPr>
          </w:p>
        </w:tc>
        <w:tc>
          <w:tcPr>
            <w:tcW w:w="1042" w:type="dxa"/>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 xml:space="preserve">2012 </w:t>
            </w:r>
          </w:p>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год</w:t>
            </w:r>
          </w:p>
        </w:tc>
        <w:tc>
          <w:tcPr>
            <w:tcW w:w="1244" w:type="dxa"/>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 xml:space="preserve">2013 </w:t>
            </w:r>
          </w:p>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год</w:t>
            </w:r>
          </w:p>
        </w:tc>
        <w:tc>
          <w:tcPr>
            <w:tcW w:w="1339" w:type="dxa"/>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 xml:space="preserve">2014 </w:t>
            </w:r>
          </w:p>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год</w:t>
            </w:r>
          </w:p>
        </w:tc>
        <w:tc>
          <w:tcPr>
            <w:tcW w:w="1966" w:type="dxa"/>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доля услуг в общей плате за жилое помещение и коммунальные услуги, %</w:t>
            </w:r>
          </w:p>
        </w:tc>
        <w:tc>
          <w:tcPr>
            <w:tcW w:w="1102" w:type="dxa"/>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Рост                     декабрь 2014 / декабрь 2013</w:t>
            </w:r>
          </w:p>
        </w:tc>
      </w:tr>
      <w:tr w:rsidR="00905D0F" w:rsidRPr="00EC20F8" w:rsidTr="009A5AA2">
        <w:trPr>
          <w:trHeight w:hRule="exact" w:val="562"/>
          <w:jc w:val="center"/>
        </w:trPr>
        <w:tc>
          <w:tcPr>
            <w:tcW w:w="558" w:type="dxa"/>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1</w:t>
            </w:r>
          </w:p>
        </w:tc>
        <w:tc>
          <w:tcPr>
            <w:tcW w:w="2320" w:type="dxa"/>
            <w:vAlign w:val="center"/>
          </w:tcPr>
          <w:p w:rsidR="00905D0F" w:rsidRPr="00EC20F8" w:rsidRDefault="00905D0F" w:rsidP="009A5AA2">
            <w:pPr>
              <w:rPr>
                <w:rFonts w:ascii="Times New Roman" w:eastAsia="Calibri" w:hAnsi="Times New Roman" w:cs="Times New Roman"/>
              </w:rPr>
            </w:pPr>
            <w:r w:rsidRPr="00EC20F8">
              <w:rPr>
                <w:rFonts w:ascii="Times New Roman" w:eastAsia="Calibri" w:hAnsi="Times New Roman" w:cs="Times New Roman"/>
              </w:rPr>
              <w:t>Содержание жилищного фонда</w:t>
            </w:r>
          </w:p>
        </w:tc>
        <w:tc>
          <w:tcPr>
            <w:tcW w:w="1042"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18,4</w:t>
            </w:r>
          </w:p>
        </w:tc>
        <w:tc>
          <w:tcPr>
            <w:tcW w:w="1244"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19,52</w:t>
            </w:r>
          </w:p>
        </w:tc>
        <w:tc>
          <w:tcPr>
            <w:tcW w:w="1339"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21,73</w:t>
            </w:r>
          </w:p>
        </w:tc>
        <w:tc>
          <w:tcPr>
            <w:tcW w:w="1966"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9,3</w:t>
            </w:r>
          </w:p>
        </w:tc>
        <w:tc>
          <w:tcPr>
            <w:tcW w:w="1102"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111,3</w:t>
            </w:r>
          </w:p>
        </w:tc>
      </w:tr>
      <w:tr w:rsidR="00905D0F" w:rsidRPr="00EC20F8" w:rsidTr="009A5AA2">
        <w:trPr>
          <w:trHeight w:hRule="exact" w:val="953"/>
          <w:jc w:val="center"/>
        </w:trPr>
        <w:tc>
          <w:tcPr>
            <w:tcW w:w="558" w:type="dxa"/>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2</w:t>
            </w:r>
          </w:p>
        </w:tc>
        <w:tc>
          <w:tcPr>
            <w:tcW w:w="2320" w:type="dxa"/>
            <w:vAlign w:val="center"/>
          </w:tcPr>
          <w:p w:rsidR="00905D0F" w:rsidRPr="00EC20F8" w:rsidRDefault="00905D0F" w:rsidP="009A5AA2">
            <w:pPr>
              <w:rPr>
                <w:rFonts w:ascii="Times New Roman" w:eastAsia="Calibri" w:hAnsi="Times New Roman" w:cs="Times New Roman"/>
              </w:rPr>
            </w:pPr>
            <w:r w:rsidRPr="00EC20F8">
              <w:rPr>
                <w:rFonts w:ascii="Times New Roman" w:eastAsia="Calibri" w:hAnsi="Times New Roman" w:cs="Times New Roman"/>
              </w:rPr>
              <w:t>Текущий ремонт и ТО жилищного фонда</w:t>
            </w:r>
          </w:p>
        </w:tc>
        <w:tc>
          <w:tcPr>
            <w:tcW w:w="1042"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14,68</w:t>
            </w:r>
          </w:p>
        </w:tc>
        <w:tc>
          <w:tcPr>
            <w:tcW w:w="1244"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15,71</w:t>
            </w:r>
          </w:p>
        </w:tc>
        <w:tc>
          <w:tcPr>
            <w:tcW w:w="1339"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15,71</w:t>
            </w:r>
          </w:p>
        </w:tc>
        <w:tc>
          <w:tcPr>
            <w:tcW w:w="1966"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6,7</w:t>
            </w:r>
          </w:p>
        </w:tc>
        <w:tc>
          <w:tcPr>
            <w:tcW w:w="1102"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100,0</w:t>
            </w:r>
          </w:p>
        </w:tc>
      </w:tr>
      <w:tr w:rsidR="00905D0F" w:rsidRPr="00EC20F8" w:rsidTr="009A5AA2">
        <w:trPr>
          <w:trHeight w:hRule="exact" w:val="265"/>
          <w:jc w:val="center"/>
        </w:trPr>
        <w:tc>
          <w:tcPr>
            <w:tcW w:w="558" w:type="dxa"/>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3</w:t>
            </w:r>
          </w:p>
        </w:tc>
        <w:tc>
          <w:tcPr>
            <w:tcW w:w="2320" w:type="dxa"/>
            <w:vAlign w:val="center"/>
          </w:tcPr>
          <w:p w:rsidR="00905D0F" w:rsidRPr="00EC20F8" w:rsidRDefault="00905D0F" w:rsidP="009A5AA2">
            <w:pPr>
              <w:rPr>
                <w:rFonts w:ascii="Times New Roman" w:eastAsia="Calibri" w:hAnsi="Times New Roman" w:cs="Times New Roman"/>
              </w:rPr>
            </w:pPr>
            <w:r w:rsidRPr="00EC20F8">
              <w:rPr>
                <w:rFonts w:ascii="Times New Roman" w:eastAsia="Calibri" w:hAnsi="Times New Roman" w:cs="Times New Roman"/>
              </w:rPr>
              <w:t>Вывоз мусора*</w:t>
            </w:r>
          </w:p>
        </w:tc>
        <w:tc>
          <w:tcPr>
            <w:tcW w:w="1042"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4,10</w:t>
            </w:r>
          </w:p>
        </w:tc>
        <w:tc>
          <w:tcPr>
            <w:tcW w:w="1244"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4,96</w:t>
            </w:r>
          </w:p>
        </w:tc>
        <w:tc>
          <w:tcPr>
            <w:tcW w:w="1339"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5,23</w:t>
            </w:r>
          </w:p>
        </w:tc>
        <w:tc>
          <w:tcPr>
            <w:tcW w:w="1966"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2,2</w:t>
            </w:r>
          </w:p>
        </w:tc>
        <w:tc>
          <w:tcPr>
            <w:tcW w:w="1102"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105,4</w:t>
            </w:r>
          </w:p>
        </w:tc>
      </w:tr>
      <w:tr w:rsidR="00905D0F" w:rsidRPr="00EC20F8" w:rsidTr="009A5AA2">
        <w:trPr>
          <w:trHeight w:hRule="exact" w:val="601"/>
          <w:jc w:val="center"/>
        </w:trPr>
        <w:tc>
          <w:tcPr>
            <w:tcW w:w="558" w:type="dxa"/>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4</w:t>
            </w:r>
          </w:p>
        </w:tc>
        <w:tc>
          <w:tcPr>
            <w:tcW w:w="2320" w:type="dxa"/>
            <w:vAlign w:val="center"/>
          </w:tcPr>
          <w:p w:rsidR="00905D0F" w:rsidRPr="00EC20F8" w:rsidRDefault="00905D0F" w:rsidP="009A5AA2">
            <w:pPr>
              <w:rPr>
                <w:rFonts w:ascii="Times New Roman" w:eastAsia="Calibri" w:hAnsi="Times New Roman" w:cs="Times New Roman"/>
              </w:rPr>
            </w:pPr>
            <w:r w:rsidRPr="00EC20F8">
              <w:rPr>
                <w:rFonts w:ascii="Times New Roman" w:eastAsia="Calibri" w:hAnsi="Times New Roman" w:cs="Times New Roman"/>
              </w:rPr>
              <w:t>Плата за наем  (для нанимателей жилья)</w:t>
            </w:r>
          </w:p>
        </w:tc>
        <w:tc>
          <w:tcPr>
            <w:tcW w:w="1042"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6,85</w:t>
            </w:r>
          </w:p>
        </w:tc>
        <w:tc>
          <w:tcPr>
            <w:tcW w:w="1244"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7,27</w:t>
            </w:r>
          </w:p>
        </w:tc>
        <w:tc>
          <w:tcPr>
            <w:tcW w:w="1339"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7,66</w:t>
            </w:r>
          </w:p>
        </w:tc>
        <w:tc>
          <w:tcPr>
            <w:tcW w:w="1966"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3,3</w:t>
            </w:r>
          </w:p>
        </w:tc>
        <w:tc>
          <w:tcPr>
            <w:tcW w:w="1102"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105,4</w:t>
            </w:r>
          </w:p>
        </w:tc>
      </w:tr>
      <w:tr w:rsidR="00905D0F" w:rsidRPr="00EC20F8" w:rsidTr="009A5AA2">
        <w:trPr>
          <w:trHeight w:val="1415"/>
          <w:jc w:val="center"/>
        </w:trPr>
        <w:tc>
          <w:tcPr>
            <w:tcW w:w="2878" w:type="dxa"/>
            <w:gridSpan w:val="2"/>
            <w:vAlign w:val="bottom"/>
          </w:tcPr>
          <w:p w:rsidR="00905D0F" w:rsidRPr="00EC20F8" w:rsidRDefault="00905D0F" w:rsidP="009A5AA2">
            <w:pPr>
              <w:jc w:val="center"/>
              <w:rPr>
                <w:rFonts w:ascii="Times New Roman" w:eastAsia="Calibri" w:hAnsi="Times New Roman" w:cs="Times New Roman"/>
                <w:i/>
                <w:iCs/>
              </w:rPr>
            </w:pPr>
            <w:r w:rsidRPr="00EC20F8">
              <w:rPr>
                <w:rFonts w:ascii="Times New Roman" w:eastAsia="Calibri" w:hAnsi="Times New Roman" w:cs="Times New Roman"/>
                <w:i/>
                <w:iCs/>
              </w:rPr>
              <w:t xml:space="preserve">Итого жилищные услуги                                                        (включается плата за наем для нанимателей жилья, либо плата за капитальный ремонт для собственников жилья) </w:t>
            </w:r>
          </w:p>
        </w:tc>
        <w:tc>
          <w:tcPr>
            <w:tcW w:w="1042" w:type="dxa"/>
            <w:vAlign w:val="center"/>
          </w:tcPr>
          <w:p w:rsidR="00905D0F" w:rsidRPr="00EC20F8" w:rsidRDefault="00905D0F" w:rsidP="009A5AA2">
            <w:pPr>
              <w:jc w:val="center"/>
              <w:rPr>
                <w:rFonts w:ascii="Times New Roman" w:eastAsia="Calibri" w:hAnsi="Times New Roman" w:cs="Times New Roman"/>
                <w:i/>
                <w:iCs/>
              </w:rPr>
            </w:pPr>
            <w:r w:rsidRPr="00EC20F8">
              <w:rPr>
                <w:rFonts w:ascii="Times New Roman" w:eastAsia="Calibri" w:hAnsi="Times New Roman" w:cs="Times New Roman"/>
                <w:i/>
                <w:iCs/>
              </w:rPr>
              <w:t>44,03</w:t>
            </w:r>
          </w:p>
        </w:tc>
        <w:tc>
          <w:tcPr>
            <w:tcW w:w="1244" w:type="dxa"/>
            <w:vAlign w:val="center"/>
          </w:tcPr>
          <w:p w:rsidR="00905D0F" w:rsidRPr="00EC20F8" w:rsidRDefault="00905D0F" w:rsidP="009A5AA2">
            <w:pPr>
              <w:jc w:val="center"/>
              <w:rPr>
                <w:rFonts w:ascii="Times New Roman" w:eastAsia="Calibri" w:hAnsi="Times New Roman" w:cs="Times New Roman"/>
                <w:i/>
                <w:iCs/>
              </w:rPr>
            </w:pPr>
            <w:r w:rsidRPr="00EC20F8">
              <w:rPr>
                <w:rFonts w:ascii="Times New Roman" w:eastAsia="Calibri" w:hAnsi="Times New Roman" w:cs="Times New Roman"/>
                <w:i/>
                <w:iCs/>
              </w:rPr>
              <w:t>47,46</w:t>
            </w:r>
          </w:p>
        </w:tc>
        <w:tc>
          <w:tcPr>
            <w:tcW w:w="1339" w:type="dxa"/>
            <w:vAlign w:val="center"/>
          </w:tcPr>
          <w:p w:rsidR="00905D0F" w:rsidRPr="00EC20F8" w:rsidRDefault="00905D0F" w:rsidP="009A5AA2">
            <w:pPr>
              <w:jc w:val="center"/>
              <w:rPr>
                <w:rFonts w:ascii="Times New Roman" w:eastAsia="Calibri" w:hAnsi="Times New Roman" w:cs="Times New Roman"/>
                <w:i/>
                <w:iCs/>
              </w:rPr>
            </w:pPr>
            <w:r w:rsidRPr="00EC20F8">
              <w:rPr>
                <w:rFonts w:ascii="Times New Roman" w:eastAsia="Calibri" w:hAnsi="Times New Roman" w:cs="Times New Roman"/>
                <w:i/>
                <w:iCs/>
              </w:rPr>
              <w:t>50,33</w:t>
            </w:r>
          </w:p>
        </w:tc>
        <w:tc>
          <w:tcPr>
            <w:tcW w:w="1966" w:type="dxa"/>
            <w:noWrap/>
            <w:vAlign w:val="center"/>
          </w:tcPr>
          <w:p w:rsidR="00905D0F" w:rsidRPr="00EC20F8" w:rsidRDefault="00905D0F" w:rsidP="009A5AA2">
            <w:pPr>
              <w:jc w:val="center"/>
              <w:rPr>
                <w:rFonts w:ascii="Times New Roman" w:eastAsia="Calibri" w:hAnsi="Times New Roman" w:cs="Times New Roman"/>
                <w:i/>
                <w:iCs/>
              </w:rPr>
            </w:pPr>
            <w:r w:rsidRPr="00EC20F8">
              <w:rPr>
                <w:rFonts w:ascii="Times New Roman" w:eastAsia="Calibri" w:hAnsi="Times New Roman" w:cs="Times New Roman"/>
                <w:i/>
                <w:iCs/>
              </w:rPr>
              <w:t>21,5</w:t>
            </w:r>
          </w:p>
        </w:tc>
        <w:tc>
          <w:tcPr>
            <w:tcW w:w="1102" w:type="dxa"/>
            <w:vAlign w:val="center"/>
          </w:tcPr>
          <w:p w:rsidR="00905D0F" w:rsidRPr="00EC20F8" w:rsidRDefault="00905D0F" w:rsidP="009A5AA2">
            <w:pPr>
              <w:jc w:val="center"/>
              <w:rPr>
                <w:rFonts w:ascii="Times New Roman" w:eastAsia="Calibri" w:hAnsi="Times New Roman" w:cs="Times New Roman"/>
                <w:i/>
                <w:iCs/>
              </w:rPr>
            </w:pPr>
            <w:r w:rsidRPr="00EC20F8">
              <w:rPr>
                <w:rFonts w:ascii="Times New Roman" w:eastAsia="Calibri" w:hAnsi="Times New Roman" w:cs="Times New Roman"/>
                <w:i/>
                <w:iCs/>
              </w:rPr>
              <w:t>106,0</w:t>
            </w:r>
          </w:p>
        </w:tc>
      </w:tr>
      <w:tr w:rsidR="00905D0F" w:rsidRPr="00EC20F8" w:rsidTr="009A5AA2">
        <w:trPr>
          <w:trHeight w:hRule="exact" w:val="397"/>
          <w:jc w:val="center"/>
        </w:trPr>
        <w:tc>
          <w:tcPr>
            <w:tcW w:w="558" w:type="dxa"/>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5</w:t>
            </w:r>
          </w:p>
        </w:tc>
        <w:tc>
          <w:tcPr>
            <w:tcW w:w="2320" w:type="dxa"/>
            <w:vAlign w:val="center"/>
          </w:tcPr>
          <w:p w:rsidR="00905D0F" w:rsidRPr="00EC20F8" w:rsidRDefault="00905D0F" w:rsidP="009A5AA2">
            <w:pPr>
              <w:rPr>
                <w:rFonts w:ascii="Times New Roman" w:eastAsia="Calibri" w:hAnsi="Times New Roman" w:cs="Times New Roman"/>
              </w:rPr>
            </w:pPr>
            <w:r w:rsidRPr="00EC20F8">
              <w:rPr>
                <w:rFonts w:ascii="Times New Roman" w:eastAsia="Calibri" w:hAnsi="Times New Roman" w:cs="Times New Roman"/>
              </w:rPr>
              <w:t>Отопление</w:t>
            </w:r>
          </w:p>
        </w:tc>
        <w:tc>
          <w:tcPr>
            <w:tcW w:w="1042"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61,22</w:t>
            </w:r>
          </w:p>
        </w:tc>
        <w:tc>
          <w:tcPr>
            <w:tcW w:w="1244"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65,78</w:t>
            </w:r>
          </w:p>
        </w:tc>
        <w:tc>
          <w:tcPr>
            <w:tcW w:w="1339"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68,54</w:t>
            </w:r>
          </w:p>
        </w:tc>
        <w:tc>
          <w:tcPr>
            <w:tcW w:w="1966"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29,2</w:t>
            </w:r>
          </w:p>
        </w:tc>
        <w:tc>
          <w:tcPr>
            <w:tcW w:w="1102"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104,2</w:t>
            </w:r>
          </w:p>
        </w:tc>
      </w:tr>
      <w:tr w:rsidR="00905D0F" w:rsidRPr="00EC20F8" w:rsidTr="009A5AA2">
        <w:trPr>
          <w:trHeight w:hRule="exact" w:val="629"/>
          <w:jc w:val="center"/>
        </w:trPr>
        <w:tc>
          <w:tcPr>
            <w:tcW w:w="558" w:type="dxa"/>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6</w:t>
            </w:r>
          </w:p>
        </w:tc>
        <w:tc>
          <w:tcPr>
            <w:tcW w:w="2320" w:type="dxa"/>
            <w:vAlign w:val="center"/>
          </w:tcPr>
          <w:p w:rsidR="00905D0F" w:rsidRPr="00EC20F8" w:rsidRDefault="00905D0F" w:rsidP="009A5AA2">
            <w:pPr>
              <w:rPr>
                <w:rFonts w:ascii="Times New Roman" w:eastAsia="Calibri" w:hAnsi="Times New Roman" w:cs="Times New Roman"/>
              </w:rPr>
            </w:pPr>
            <w:r w:rsidRPr="00EC20F8">
              <w:rPr>
                <w:rFonts w:ascii="Times New Roman" w:eastAsia="Calibri" w:hAnsi="Times New Roman" w:cs="Times New Roman"/>
              </w:rPr>
              <w:t>Горячее водоснабжение</w:t>
            </w:r>
          </w:p>
        </w:tc>
        <w:tc>
          <w:tcPr>
            <w:tcW w:w="1042"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67,23</w:t>
            </w:r>
          </w:p>
        </w:tc>
        <w:tc>
          <w:tcPr>
            <w:tcW w:w="1244"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68,47</w:t>
            </w:r>
          </w:p>
        </w:tc>
        <w:tc>
          <w:tcPr>
            <w:tcW w:w="1339"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69,57</w:t>
            </w:r>
          </w:p>
        </w:tc>
        <w:tc>
          <w:tcPr>
            <w:tcW w:w="1966"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29,7</w:t>
            </w:r>
          </w:p>
        </w:tc>
        <w:tc>
          <w:tcPr>
            <w:tcW w:w="1102"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101,6</w:t>
            </w:r>
          </w:p>
        </w:tc>
      </w:tr>
      <w:tr w:rsidR="00905D0F" w:rsidRPr="00EC20F8" w:rsidTr="009A5AA2">
        <w:trPr>
          <w:trHeight w:hRule="exact" w:val="397"/>
          <w:jc w:val="center"/>
        </w:trPr>
        <w:tc>
          <w:tcPr>
            <w:tcW w:w="558" w:type="dxa"/>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7</w:t>
            </w:r>
          </w:p>
        </w:tc>
        <w:tc>
          <w:tcPr>
            <w:tcW w:w="2320" w:type="dxa"/>
            <w:vAlign w:val="center"/>
          </w:tcPr>
          <w:p w:rsidR="00905D0F" w:rsidRPr="00EC20F8" w:rsidRDefault="00905D0F" w:rsidP="009A5AA2">
            <w:pPr>
              <w:rPr>
                <w:rFonts w:ascii="Times New Roman" w:eastAsia="Calibri" w:hAnsi="Times New Roman" w:cs="Times New Roman"/>
              </w:rPr>
            </w:pPr>
            <w:r w:rsidRPr="00EC20F8">
              <w:rPr>
                <w:rFonts w:ascii="Times New Roman" w:eastAsia="Calibri" w:hAnsi="Times New Roman" w:cs="Times New Roman"/>
              </w:rPr>
              <w:t>Водопотребление</w:t>
            </w:r>
          </w:p>
        </w:tc>
        <w:tc>
          <w:tcPr>
            <w:tcW w:w="1042"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9,62</w:t>
            </w:r>
          </w:p>
        </w:tc>
        <w:tc>
          <w:tcPr>
            <w:tcW w:w="1244"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10,39</w:t>
            </w:r>
          </w:p>
        </w:tc>
        <w:tc>
          <w:tcPr>
            <w:tcW w:w="1339"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11,70</w:t>
            </w:r>
          </w:p>
        </w:tc>
        <w:tc>
          <w:tcPr>
            <w:tcW w:w="1966"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5,0</w:t>
            </w:r>
          </w:p>
        </w:tc>
        <w:tc>
          <w:tcPr>
            <w:tcW w:w="1102"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112,6</w:t>
            </w:r>
          </w:p>
        </w:tc>
      </w:tr>
      <w:tr w:rsidR="00905D0F" w:rsidRPr="00EC20F8" w:rsidTr="009A5AA2">
        <w:trPr>
          <w:trHeight w:hRule="exact" w:val="397"/>
          <w:jc w:val="center"/>
        </w:trPr>
        <w:tc>
          <w:tcPr>
            <w:tcW w:w="558" w:type="dxa"/>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8</w:t>
            </w:r>
          </w:p>
        </w:tc>
        <w:tc>
          <w:tcPr>
            <w:tcW w:w="2320" w:type="dxa"/>
            <w:vAlign w:val="center"/>
          </w:tcPr>
          <w:p w:rsidR="00905D0F" w:rsidRPr="00EC20F8" w:rsidRDefault="00905D0F" w:rsidP="009A5AA2">
            <w:pPr>
              <w:rPr>
                <w:rFonts w:ascii="Times New Roman" w:eastAsia="Calibri" w:hAnsi="Times New Roman" w:cs="Times New Roman"/>
              </w:rPr>
            </w:pPr>
            <w:r w:rsidRPr="00EC20F8">
              <w:rPr>
                <w:rFonts w:ascii="Times New Roman" w:eastAsia="Calibri" w:hAnsi="Times New Roman" w:cs="Times New Roman"/>
              </w:rPr>
              <w:t>Водоотведение</w:t>
            </w:r>
          </w:p>
        </w:tc>
        <w:tc>
          <w:tcPr>
            <w:tcW w:w="1042"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11,00</w:t>
            </w:r>
          </w:p>
        </w:tc>
        <w:tc>
          <w:tcPr>
            <w:tcW w:w="1244"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9,76</w:t>
            </w:r>
          </w:p>
        </w:tc>
        <w:tc>
          <w:tcPr>
            <w:tcW w:w="1339"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11,42</w:t>
            </w:r>
          </w:p>
        </w:tc>
        <w:tc>
          <w:tcPr>
            <w:tcW w:w="1966"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4,9</w:t>
            </w:r>
          </w:p>
        </w:tc>
        <w:tc>
          <w:tcPr>
            <w:tcW w:w="1102"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117,0</w:t>
            </w:r>
          </w:p>
        </w:tc>
      </w:tr>
      <w:tr w:rsidR="00905D0F" w:rsidRPr="00EC20F8" w:rsidTr="009A5AA2">
        <w:trPr>
          <w:trHeight w:hRule="exact" w:val="397"/>
          <w:jc w:val="center"/>
        </w:trPr>
        <w:tc>
          <w:tcPr>
            <w:tcW w:w="558" w:type="dxa"/>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9</w:t>
            </w:r>
          </w:p>
        </w:tc>
        <w:tc>
          <w:tcPr>
            <w:tcW w:w="2320" w:type="dxa"/>
            <w:vAlign w:val="center"/>
          </w:tcPr>
          <w:p w:rsidR="00905D0F" w:rsidRPr="00EC20F8" w:rsidRDefault="00905D0F" w:rsidP="009A5AA2">
            <w:pPr>
              <w:rPr>
                <w:rFonts w:ascii="Times New Roman" w:eastAsia="Calibri" w:hAnsi="Times New Roman" w:cs="Times New Roman"/>
              </w:rPr>
            </w:pPr>
            <w:r w:rsidRPr="00EC20F8">
              <w:rPr>
                <w:rFonts w:ascii="Times New Roman" w:eastAsia="Calibri" w:hAnsi="Times New Roman" w:cs="Times New Roman"/>
              </w:rPr>
              <w:t>Электроэнергия</w:t>
            </w:r>
          </w:p>
        </w:tc>
        <w:tc>
          <w:tcPr>
            <w:tcW w:w="1042" w:type="dxa"/>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14,43</w:t>
            </w:r>
          </w:p>
        </w:tc>
        <w:tc>
          <w:tcPr>
            <w:tcW w:w="1244"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21,84</w:t>
            </w:r>
          </w:p>
        </w:tc>
        <w:tc>
          <w:tcPr>
            <w:tcW w:w="1339"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22,70</w:t>
            </w:r>
          </w:p>
        </w:tc>
        <w:tc>
          <w:tcPr>
            <w:tcW w:w="1966"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9,7</w:t>
            </w:r>
          </w:p>
        </w:tc>
        <w:tc>
          <w:tcPr>
            <w:tcW w:w="1102" w:type="dxa"/>
            <w:noWrap/>
            <w:vAlign w:val="center"/>
          </w:tcPr>
          <w:p w:rsidR="00905D0F" w:rsidRPr="00EC20F8" w:rsidRDefault="00905D0F" w:rsidP="009A5AA2">
            <w:pPr>
              <w:jc w:val="center"/>
              <w:rPr>
                <w:rFonts w:ascii="Times New Roman" w:eastAsia="Calibri" w:hAnsi="Times New Roman" w:cs="Times New Roman"/>
              </w:rPr>
            </w:pPr>
            <w:r w:rsidRPr="00EC20F8">
              <w:rPr>
                <w:rFonts w:ascii="Times New Roman" w:eastAsia="Calibri" w:hAnsi="Times New Roman" w:cs="Times New Roman"/>
              </w:rPr>
              <w:t>103,9</w:t>
            </w:r>
          </w:p>
        </w:tc>
      </w:tr>
      <w:tr w:rsidR="00905D0F" w:rsidRPr="00EC20F8" w:rsidTr="009A5AA2">
        <w:trPr>
          <w:trHeight w:hRule="exact" w:val="277"/>
          <w:jc w:val="center"/>
        </w:trPr>
        <w:tc>
          <w:tcPr>
            <w:tcW w:w="2878" w:type="dxa"/>
            <w:gridSpan w:val="2"/>
            <w:vAlign w:val="center"/>
          </w:tcPr>
          <w:p w:rsidR="00905D0F" w:rsidRPr="00EC20F8" w:rsidRDefault="00905D0F" w:rsidP="009A5AA2">
            <w:pPr>
              <w:jc w:val="center"/>
              <w:rPr>
                <w:rFonts w:ascii="Times New Roman" w:eastAsia="Calibri" w:hAnsi="Times New Roman" w:cs="Times New Roman"/>
                <w:i/>
                <w:iCs/>
              </w:rPr>
            </w:pPr>
            <w:r w:rsidRPr="00EC20F8">
              <w:rPr>
                <w:rFonts w:ascii="Times New Roman" w:eastAsia="Calibri" w:hAnsi="Times New Roman" w:cs="Times New Roman"/>
                <w:i/>
                <w:iCs/>
              </w:rPr>
              <w:t>Итого коммунальные услуги</w:t>
            </w:r>
          </w:p>
        </w:tc>
        <w:tc>
          <w:tcPr>
            <w:tcW w:w="1042" w:type="dxa"/>
            <w:vAlign w:val="center"/>
          </w:tcPr>
          <w:p w:rsidR="00905D0F" w:rsidRPr="00EC20F8" w:rsidRDefault="00905D0F" w:rsidP="009A5AA2">
            <w:pPr>
              <w:jc w:val="center"/>
              <w:rPr>
                <w:rFonts w:ascii="Times New Roman" w:eastAsia="Calibri" w:hAnsi="Times New Roman" w:cs="Times New Roman"/>
                <w:i/>
                <w:iCs/>
              </w:rPr>
            </w:pPr>
            <w:r w:rsidRPr="00EC20F8">
              <w:rPr>
                <w:rFonts w:ascii="Times New Roman" w:eastAsia="Calibri" w:hAnsi="Times New Roman" w:cs="Times New Roman"/>
                <w:i/>
                <w:iCs/>
              </w:rPr>
              <w:t>163,50</w:t>
            </w:r>
          </w:p>
        </w:tc>
        <w:tc>
          <w:tcPr>
            <w:tcW w:w="1244" w:type="dxa"/>
            <w:vAlign w:val="center"/>
          </w:tcPr>
          <w:p w:rsidR="00905D0F" w:rsidRPr="00EC20F8" w:rsidRDefault="00905D0F" w:rsidP="009A5AA2">
            <w:pPr>
              <w:jc w:val="center"/>
              <w:rPr>
                <w:rFonts w:ascii="Times New Roman" w:eastAsia="Calibri" w:hAnsi="Times New Roman" w:cs="Times New Roman"/>
                <w:i/>
                <w:iCs/>
              </w:rPr>
            </w:pPr>
            <w:r w:rsidRPr="00EC20F8">
              <w:rPr>
                <w:rFonts w:ascii="Times New Roman" w:eastAsia="Calibri" w:hAnsi="Times New Roman" w:cs="Times New Roman"/>
                <w:i/>
                <w:iCs/>
              </w:rPr>
              <w:t>176,24</w:t>
            </w:r>
          </w:p>
        </w:tc>
        <w:tc>
          <w:tcPr>
            <w:tcW w:w="1339" w:type="dxa"/>
            <w:vAlign w:val="center"/>
          </w:tcPr>
          <w:p w:rsidR="00905D0F" w:rsidRPr="00EC20F8" w:rsidRDefault="00905D0F" w:rsidP="009A5AA2">
            <w:pPr>
              <w:jc w:val="center"/>
              <w:rPr>
                <w:rFonts w:ascii="Times New Roman" w:eastAsia="Calibri" w:hAnsi="Times New Roman" w:cs="Times New Roman"/>
                <w:i/>
                <w:iCs/>
              </w:rPr>
            </w:pPr>
            <w:r w:rsidRPr="00EC20F8">
              <w:rPr>
                <w:rFonts w:ascii="Times New Roman" w:eastAsia="Calibri" w:hAnsi="Times New Roman" w:cs="Times New Roman"/>
                <w:i/>
                <w:iCs/>
              </w:rPr>
              <w:t>183,93</w:t>
            </w:r>
          </w:p>
        </w:tc>
        <w:tc>
          <w:tcPr>
            <w:tcW w:w="1966" w:type="dxa"/>
            <w:noWrap/>
            <w:vAlign w:val="center"/>
          </w:tcPr>
          <w:p w:rsidR="00905D0F" w:rsidRPr="00EC20F8" w:rsidRDefault="00905D0F" w:rsidP="009A5AA2">
            <w:pPr>
              <w:jc w:val="center"/>
              <w:rPr>
                <w:rFonts w:ascii="Times New Roman" w:eastAsia="Calibri" w:hAnsi="Times New Roman" w:cs="Times New Roman"/>
                <w:i/>
                <w:iCs/>
              </w:rPr>
            </w:pPr>
            <w:r w:rsidRPr="00EC20F8">
              <w:rPr>
                <w:rFonts w:ascii="Times New Roman" w:eastAsia="Calibri" w:hAnsi="Times New Roman" w:cs="Times New Roman"/>
                <w:i/>
                <w:iCs/>
              </w:rPr>
              <w:t>78,5</w:t>
            </w:r>
          </w:p>
        </w:tc>
        <w:tc>
          <w:tcPr>
            <w:tcW w:w="1102" w:type="dxa"/>
            <w:noWrap/>
            <w:vAlign w:val="center"/>
          </w:tcPr>
          <w:p w:rsidR="00905D0F" w:rsidRPr="00EC20F8" w:rsidRDefault="00905D0F" w:rsidP="009A5AA2">
            <w:pPr>
              <w:jc w:val="center"/>
              <w:rPr>
                <w:rFonts w:ascii="Times New Roman" w:eastAsia="Calibri" w:hAnsi="Times New Roman" w:cs="Times New Roman"/>
                <w:i/>
                <w:iCs/>
              </w:rPr>
            </w:pPr>
            <w:r w:rsidRPr="00EC20F8">
              <w:rPr>
                <w:rFonts w:ascii="Times New Roman" w:eastAsia="Calibri" w:hAnsi="Times New Roman" w:cs="Times New Roman"/>
                <w:i/>
                <w:iCs/>
              </w:rPr>
              <w:t>104,4</w:t>
            </w:r>
          </w:p>
        </w:tc>
      </w:tr>
      <w:tr w:rsidR="00905D0F" w:rsidRPr="00EC20F8" w:rsidTr="009A5AA2">
        <w:trPr>
          <w:trHeight w:hRule="exact" w:val="298"/>
          <w:jc w:val="center"/>
        </w:trPr>
        <w:tc>
          <w:tcPr>
            <w:tcW w:w="2878" w:type="dxa"/>
            <w:gridSpan w:val="2"/>
            <w:vAlign w:val="center"/>
          </w:tcPr>
          <w:p w:rsidR="00905D0F" w:rsidRPr="00EC20F8" w:rsidRDefault="00905D0F" w:rsidP="009A5AA2">
            <w:pPr>
              <w:jc w:val="center"/>
              <w:rPr>
                <w:rFonts w:ascii="Times New Roman" w:eastAsia="Calibri" w:hAnsi="Times New Roman" w:cs="Times New Roman"/>
                <w:b/>
                <w:i/>
                <w:iCs/>
              </w:rPr>
            </w:pPr>
            <w:r w:rsidRPr="00EC20F8">
              <w:rPr>
                <w:rFonts w:ascii="Times New Roman" w:eastAsia="Calibri" w:hAnsi="Times New Roman" w:cs="Times New Roman"/>
                <w:b/>
                <w:i/>
                <w:iCs/>
              </w:rPr>
              <w:t>Всего</w:t>
            </w:r>
          </w:p>
        </w:tc>
        <w:tc>
          <w:tcPr>
            <w:tcW w:w="1042" w:type="dxa"/>
            <w:vAlign w:val="center"/>
          </w:tcPr>
          <w:p w:rsidR="00905D0F" w:rsidRPr="00EC20F8" w:rsidRDefault="00905D0F" w:rsidP="009A5AA2">
            <w:pPr>
              <w:jc w:val="center"/>
              <w:rPr>
                <w:rFonts w:ascii="Times New Roman" w:eastAsia="Calibri" w:hAnsi="Times New Roman" w:cs="Times New Roman"/>
                <w:b/>
                <w:i/>
                <w:iCs/>
              </w:rPr>
            </w:pPr>
            <w:r w:rsidRPr="00EC20F8">
              <w:rPr>
                <w:rFonts w:ascii="Times New Roman" w:eastAsia="Calibri" w:hAnsi="Times New Roman" w:cs="Times New Roman"/>
                <w:b/>
                <w:i/>
                <w:iCs/>
              </w:rPr>
              <w:t>207,53</w:t>
            </w:r>
          </w:p>
        </w:tc>
        <w:tc>
          <w:tcPr>
            <w:tcW w:w="1244" w:type="dxa"/>
            <w:vAlign w:val="center"/>
          </w:tcPr>
          <w:p w:rsidR="00905D0F" w:rsidRPr="00EC20F8" w:rsidRDefault="00905D0F" w:rsidP="009A5AA2">
            <w:pPr>
              <w:jc w:val="center"/>
              <w:rPr>
                <w:rFonts w:ascii="Times New Roman" w:eastAsia="Calibri" w:hAnsi="Times New Roman" w:cs="Times New Roman"/>
                <w:b/>
                <w:i/>
                <w:iCs/>
              </w:rPr>
            </w:pPr>
            <w:r w:rsidRPr="00EC20F8">
              <w:rPr>
                <w:rFonts w:ascii="Times New Roman" w:eastAsia="Calibri" w:hAnsi="Times New Roman" w:cs="Times New Roman"/>
                <w:b/>
                <w:i/>
                <w:iCs/>
              </w:rPr>
              <w:t>223,70</w:t>
            </w:r>
          </w:p>
        </w:tc>
        <w:tc>
          <w:tcPr>
            <w:tcW w:w="1339" w:type="dxa"/>
            <w:vAlign w:val="center"/>
          </w:tcPr>
          <w:p w:rsidR="00905D0F" w:rsidRPr="00EC20F8" w:rsidRDefault="00905D0F" w:rsidP="009A5AA2">
            <w:pPr>
              <w:jc w:val="center"/>
              <w:rPr>
                <w:rFonts w:ascii="Times New Roman" w:eastAsia="Calibri" w:hAnsi="Times New Roman" w:cs="Times New Roman"/>
                <w:b/>
                <w:i/>
                <w:iCs/>
              </w:rPr>
            </w:pPr>
            <w:r w:rsidRPr="00EC20F8">
              <w:rPr>
                <w:rFonts w:ascii="Times New Roman" w:eastAsia="Calibri" w:hAnsi="Times New Roman" w:cs="Times New Roman"/>
                <w:b/>
                <w:i/>
                <w:iCs/>
              </w:rPr>
              <w:t>234,26</w:t>
            </w:r>
          </w:p>
        </w:tc>
        <w:tc>
          <w:tcPr>
            <w:tcW w:w="1966" w:type="dxa"/>
            <w:vAlign w:val="center"/>
          </w:tcPr>
          <w:p w:rsidR="00905D0F" w:rsidRPr="00EC20F8" w:rsidRDefault="00905D0F" w:rsidP="009A5AA2">
            <w:pPr>
              <w:jc w:val="center"/>
              <w:rPr>
                <w:rFonts w:ascii="Times New Roman" w:eastAsia="Calibri" w:hAnsi="Times New Roman" w:cs="Times New Roman"/>
                <w:b/>
                <w:i/>
                <w:iCs/>
              </w:rPr>
            </w:pPr>
            <w:r w:rsidRPr="00EC20F8">
              <w:rPr>
                <w:rFonts w:ascii="Times New Roman" w:eastAsia="Calibri" w:hAnsi="Times New Roman" w:cs="Times New Roman"/>
                <w:b/>
                <w:i/>
                <w:iCs/>
              </w:rPr>
              <w:t>100,0</w:t>
            </w:r>
          </w:p>
        </w:tc>
        <w:tc>
          <w:tcPr>
            <w:tcW w:w="1102" w:type="dxa"/>
            <w:noWrap/>
            <w:vAlign w:val="center"/>
          </w:tcPr>
          <w:p w:rsidR="00905D0F" w:rsidRPr="00EC20F8" w:rsidRDefault="00905D0F" w:rsidP="009A5AA2">
            <w:pPr>
              <w:jc w:val="center"/>
              <w:rPr>
                <w:rFonts w:ascii="Times New Roman" w:eastAsia="Calibri" w:hAnsi="Times New Roman" w:cs="Times New Roman"/>
                <w:b/>
                <w:i/>
                <w:iCs/>
              </w:rPr>
            </w:pPr>
            <w:r w:rsidRPr="00EC20F8">
              <w:rPr>
                <w:rFonts w:ascii="Times New Roman" w:eastAsia="Calibri" w:hAnsi="Times New Roman" w:cs="Times New Roman"/>
                <w:b/>
                <w:i/>
                <w:iCs/>
              </w:rPr>
              <w:t>104,7</w:t>
            </w:r>
          </w:p>
        </w:tc>
      </w:tr>
    </w:tbl>
    <w:p w:rsidR="00905D0F" w:rsidRPr="00EC20F8" w:rsidRDefault="00905D0F" w:rsidP="00905D0F">
      <w:pPr>
        <w:autoSpaceDE w:val="0"/>
        <w:autoSpaceDN w:val="0"/>
        <w:adjustRightInd w:val="0"/>
        <w:spacing w:line="240" w:lineRule="auto"/>
        <w:jc w:val="both"/>
        <w:rPr>
          <w:rFonts w:ascii="Times New Roman" w:eastAsia="Calibri" w:hAnsi="Times New Roman" w:cs="Times New Roman"/>
          <w:sz w:val="24"/>
          <w:szCs w:val="24"/>
        </w:rPr>
      </w:pPr>
      <w:r w:rsidRPr="00EC20F8">
        <w:rPr>
          <w:rFonts w:ascii="Times New Roman" w:hAnsi="Times New Roman" w:cs="Times New Roman"/>
        </w:rPr>
        <w:t xml:space="preserve">* Рост </w:t>
      </w:r>
      <w:r w:rsidRPr="00EC20F8">
        <w:rPr>
          <w:rFonts w:ascii="Times New Roman" w:eastAsia="Calibri" w:hAnsi="Times New Roman" w:cs="Times New Roman"/>
          <w:sz w:val="24"/>
          <w:szCs w:val="24"/>
        </w:rPr>
        <w:t xml:space="preserve">связан с ростом по утилизации отходов </w:t>
      </w:r>
    </w:p>
    <w:p w:rsidR="00905D0F" w:rsidRPr="00EC20F8" w:rsidRDefault="00905D0F" w:rsidP="00905D0F">
      <w:pPr>
        <w:autoSpaceDE w:val="0"/>
        <w:autoSpaceDN w:val="0"/>
        <w:adjustRightInd w:val="0"/>
        <w:spacing w:line="240" w:lineRule="auto"/>
        <w:ind w:firstLine="709"/>
        <w:jc w:val="both"/>
        <w:rPr>
          <w:rFonts w:ascii="Times New Roman" w:eastAsia="Calibri" w:hAnsi="Times New Roman" w:cs="Times New Roman"/>
          <w:sz w:val="16"/>
          <w:szCs w:val="16"/>
        </w:rPr>
      </w:pPr>
    </w:p>
    <w:p w:rsidR="00905D0F" w:rsidRPr="00EC20F8" w:rsidRDefault="00905D0F" w:rsidP="00905D0F">
      <w:pPr>
        <w:autoSpaceDE w:val="0"/>
        <w:autoSpaceDN w:val="0"/>
        <w:adjustRightInd w:val="0"/>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В соответствии со статьей 153 Жилищного кодекса Российской Федерации, граждане и организации обязаны своевременно и полностью вносить плату за жилое помещение и коммунальные услуги.</w:t>
      </w:r>
    </w:p>
    <w:p w:rsidR="00905D0F" w:rsidRPr="00EC20F8" w:rsidRDefault="00905D0F" w:rsidP="00905D0F">
      <w:pPr>
        <w:autoSpaceDE w:val="0"/>
        <w:autoSpaceDN w:val="0"/>
        <w:adjustRightInd w:val="0"/>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 xml:space="preserve">Однако для отдельных категорий граждан такие платежи непосильны. </w:t>
      </w:r>
      <w:proofErr w:type="gramStart"/>
      <w:r w:rsidRPr="00EC20F8">
        <w:rPr>
          <w:rFonts w:ascii="Times New Roman" w:eastAsia="Calibri" w:hAnsi="Times New Roman" w:cs="Times New Roman"/>
          <w:sz w:val="28"/>
          <w:szCs w:val="28"/>
        </w:rPr>
        <w:t>С целью оказания помощи таким гражданам и недопущения роста дебиторской задолженности у исполнителей услуг в городском округе работает комплекс мер социальной поддержки населения.</w:t>
      </w:r>
      <w:proofErr w:type="gramEnd"/>
      <w:r w:rsidRPr="00EC20F8">
        <w:rPr>
          <w:rFonts w:ascii="Times New Roman" w:eastAsia="Calibri" w:hAnsi="Times New Roman" w:cs="Times New Roman"/>
          <w:sz w:val="28"/>
          <w:szCs w:val="28"/>
        </w:rPr>
        <w:t xml:space="preserve"> В 2013 году Городской Думой </w:t>
      </w:r>
      <w:proofErr w:type="gramStart"/>
      <w:r w:rsidRPr="00EC20F8">
        <w:rPr>
          <w:rFonts w:ascii="Times New Roman" w:eastAsia="Calibri" w:hAnsi="Times New Roman" w:cs="Times New Roman"/>
          <w:sz w:val="28"/>
          <w:szCs w:val="28"/>
        </w:rPr>
        <w:t>Петропавловск-Камчатского</w:t>
      </w:r>
      <w:proofErr w:type="gramEnd"/>
      <w:r w:rsidRPr="00EC20F8">
        <w:rPr>
          <w:rFonts w:ascii="Times New Roman" w:eastAsia="Calibri" w:hAnsi="Times New Roman" w:cs="Times New Roman"/>
          <w:sz w:val="28"/>
          <w:szCs w:val="28"/>
        </w:rPr>
        <w:t xml:space="preserve"> городского округа принято решение от 06.05.2013 № 56-нд «О мерах муниципальной социальной поддержки граждан при оплате жилого помещения и коммунальных услуг на территории Петропавловск-Камчатского городского округа». </w:t>
      </w:r>
    </w:p>
    <w:p w:rsidR="00905D0F" w:rsidRPr="00EC20F8" w:rsidRDefault="00905D0F" w:rsidP="00905D0F">
      <w:pPr>
        <w:autoSpaceDE w:val="0"/>
        <w:autoSpaceDN w:val="0"/>
        <w:adjustRightInd w:val="0"/>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В 2013 году предусмотренными мерами социальной поддержки при оплате жилищно-коммунальных услуг воспользовались 13 165 семей. Предварительные данные 2014 года позволяют предположить, что на конец года число таких семей составит 12 050 семей, к 2017 году – 9 588,79 семей.</w:t>
      </w:r>
    </w:p>
    <w:p w:rsidR="00905D0F" w:rsidRPr="00EC20F8" w:rsidRDefault="00905D0F" w:rsidP="00905D0F">
      <w:pPr>
        <w:autoSpaceDE w:val="0"/>
        <w:autoSpaceDN w:val="0"/>
        <w:adjustRightInd w:val="0"/>
        <w:spacing w:line="240" w:lineRule="auto"/>
        <w:ind w:firstLine="709"/>
        <w:jc w:val="both"/>
        <w:rPr>
          <w:rFonts w:ascii="Times New Roman" w:eastAsia="Calibri" w:hAnsi="Times New Roman" w:cs="Times New Roman"/>
          <w:sz w:val="28"/>
          <w:szCs w:val="28"/>
        </w:rPr>
      </w:pPr>
      <w:proofErr w:type="gramStart"/>
      <w:r w:rsidRPr="00EC20F8">
        <w:rPr>
          <w:rFonts w:ascii="Times New Roman" w:eastAsia="Calibri" w:hAnsi="Times New Roman" w:cs="Times New Roman"/>
          <w:sz w:val="28"/>
          <w:szCs w:val="28"/>
        </w:rPr>
        <w:t>Анализ уровня собираемости платежей с населения за предоставленное жилое помещение и коммунальные услуги показывает динамику повышения дисциплинированности населения, но при этом варьируется в зависимости от изменения уровня тарифов и уровня доходов граждан.</w:t>
      </w:r>
      <w:proofErr w:type="gramEnd"/>
      <w:r w:rsidRPr="00EC20F8">
        <w:rPr>
          <w:rFonts w:ascii="Times New Roman" w:eastAsia="Calibri" w:hAnsi="Times New Roman" w:cs="Times New Roman"/>
          <w:sz w:val="28"/>
          <w:szCs w:val="28"/>
        </w:rPr>
        <w:t xml:space="preserve"> В 2013 году уровень собираемости жилищно-коммунальных платежей составил 92,12 %, что на 3,1 % ниже предыдущего показателя.</w:t>
      </w:r>
    </w:p>
    <w:p w:rsidR="00905D0F" w:rsidRPr="00EC20F8" w:rsidRDefault="00905D0F" w:rsidP="00905D0F">
      <w:pPr>
        <w:autoSpaceDE w:val="0"/>
        <w:autoSpaceDN w:val="0"/>
        <w:adjustRightInd w:val="0"/>
        <w:spacing w:line="240" w:lineRule="auto"/>
        <w:ind w:firstLine="709"/>
        <w:jc w:val="both"/>
        <w:rPr>
          <w:rFonts w:ascii="Times New Roman" w:eastAsia="Calibri" w:hAnsi="Times New Roman" w:cs="Times New Roman"/>
          <w:sz w:val="28"/>
          <w:szCs w:val="28"/>
        </w:rPr>
      </w:pPr>
      <w:r w:rsidRPr="00EC20F8">
        <w:rPr>
          <w:rFonts w:ascii="Times New Roman" w:eastAsia="Calibri" w:hAnsi="Times New Roman" w:cs="Times New Roman"/>
          <w:sz w:val="28"/>
          <w:szCs w:val="28"/>
        </w:rPr>
        <w:t>Предварительные данные 2014 года позволяют спрогнозировать показатель к концу 2014 года на уровне 88,92%, до конца 2017 года – на уровне до 88,95%.</w:t>
      </w:r>
    </w:p>
    <w:p w:rsidR="00905D0F" w:rsidRPr="00EC20F8" w:rsidRDefault="00905D0F" w:rsidP="00905D0F">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Основные направления политики администрации </w:t>
      </w:r>
      <w:proofErr w:type="gramStart"/>
      <w:r w:rsidRPr="00EC20F8">
        <w:rPr>
          <w:rFonts w:ascii="Times New Roman" w:hAnsi="Times New Roman" w:cs="Times New Roman"/>
          <w:sz w:val="28"/>
          <w:szCs w:val="28"/>
        </w:rPr>
        <w:t>Петропавловск-Камчатского</w:t>
      </w:r>
      <w:proofErr w:type="gramEnd"/>
      <w:r w:rsidRPr="00EC20F8">
        <w:rPr>
          <w:rFonts w:ascii="Times New Roman" w:hAnsi="Times New Roman" w:cs="Times New Roman"/>
          <w:sz w:val="28"/>
          <w:szCs w:val="28"/>
        </w:rPr>
        <w:t xml:space="preserve"> городского </w:t>
      </w:r>
      <w:r w:rsidRPr="00EC20F8">
        <w:rPr>
          <w:rFonts w:ascii="Times New Roman" w:hAnsi="Times New Roman" w:cs="Times New Roman"/>
          <w:b/>
          <w:i/>
          <w:sz w:val="28"/>
          <w:szCs w:val="28"/>
        </w:rPr>
        <w:t>округа в сфере развития коммунального хозяйства</w:t>
      </w:r>
      <w:r w:rsidRPr="00EC20F8">
        <w:rPr>
          <w:rFonts w:ascii="Times New Roman" w:hAnsi="Times New Roman" w:cs="Times New Roman"/>
          <w:sz w:val="28"/>
          <w:szCs w:val="28"/>
        </w:rPr>
        <w:t xml:space="preserve"> обусловлены необходимостью надежной и качественной работы систем коммунальной инфраструктуры, а также привлечения инвестиций в данную сферу. </w:t>
      </w:r>
    </w:p>
    <w:p w:rsidR="00905D0F" w:rsidRPr="00EC20F8" w:rsidRDefault="00905D0F" w:rsidP="00905D0F">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Привлечение инвестиций в отрасль жилищно-коммунального хозяйства возможно путем создания благоприятного инвестиционного климата и применения механизмов </w:t>
      </w:r>
      <w:proofErr w:type="spellStart"/>
      <w:r w:rsidRPr="00EC20F8">
        <w:rPr>
          <w:rFonts w:ascii="Times New Roman" w:hAnsi="Times New Roman" w:cs="Times New Roman"/>
          <w:sz w:val="28"/>
          <w:szCs w:val="28"/>
        </w:rPr>
        <w:t>муниципально-частного</w:t>
      </w:r>
      <w:proofErr w:type="spellEnd"/>
      <w:r w:rsidRPr="00EC20F8">
        <w:rPr>
          <w:rFonts w:ascii="Times New Roman" w:hAnsi="Times New Roman" w:cs="Times New Roman"/>
          <w:sz w:val="28"/>
          <w:szCs w:val="28"/>
        </w:rPr>
        <w:t xml:space="preserve"> партнерства.</w:t>
      </w:r>
    </w:p>
    <w:p w:rsidR="00905D0F" w:rsidRPr="00EC20F8" w:rsidRDefault="00905D0F" w:rsidP="00905D0F">
      <w:pPr>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Развитие такого партнерства рассматривается администрацией Петропавловск-Камчатского городского округа в направлении совершенствования управления объектами инженерной инфраструктуры посредством внедрения механизма концессии в сферу жилищно-коммунального хозяйства.</w:t>
      </w:r>
      <w:proofErr w:type="gramEnd"/>
      <w:r w:rsidRPr="00EC20F8">
        <w:rPr>
          <w:rFonts w:ascii="Times New Roman" w:hAnsi="Times New Roman" w:cs="Times New Roman"/>
          <w:sz w:val="28"/>
          <w:szCs w:val="28"/>
        </w:rPr>
        <w:t xml:space="preserve"> Администрацией городского округа заключено концессионное соглашение с открытым акционерным обществом «</w:t>
      </w:r>
      <w:proofErr w:type="spellStart"/>
      <w:r w:rsidRPr="00EC20F8">
        <w:rPr>
          <w:rFonts w:ascii="Times New Roman" w:hAnsi="Times New Roman" w:cs="Times New Roman"/>
          <w:sz w:val="28"/>
          <w:szCs w:val="28"/>
        </w:rPr>
        <w:t>Камчатскэнерго</w:t>
      </w:r>
      <w:proofErr w:type="spellEnd"/>
      <w:r w:rsidRPr="00EC20F8">
        <w:rPr>
          <w:rFonts w:ascii="Times New Roman" w:hAnsi="Times New Roman" w:cs="Times New Roman"/>
          <w:sz w:val="28"/>
          <w:szCs w:val="28"/>
        </w:rPr>
        <w:t>» по реконструкции котельной № 1 и переводу ее на газовое топливо.</w:t>
      </w:r>
    </w:p>
    <w:p w:rsidR="00905D0F" w:rsidRPr="00EC20F8" w:rsidRDefault="00905D0F" w:rsidP="00905D0F">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Задачи модернизации жилищно-коммунального хозяйства реализуется через программно-целевой метод. На реализацию программных мероприятий, направленных на развитие инженерной инфраструктуры городского округа, привлекаются финансовые средства из бюджетов всех уровней, а также средства частных инвесторов. </w:t>
      </w:r>
    </w:p>
    <w:p w:rsidR="00905D0F" w:rsidRPr="00EC20F8" w:rsidRDefault="00905D0F" w:rsidP="00905D0F">
      <w:pPr>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В 2013 году в целях повышения эффективности работы коммунальной инфраструктуры на территории городского округа в 2013 году реализовывались муниципальные долгосрочные целевые программы «Чистая вода в Петропавловск-Камчатском городском округе на 2012-2017 годы» и </w:t>
      </w:r>
      <w:r w:rsidRPr="00EC20F8">
        <w:rPr>
          <w:rFonts w:ascii="Times New Roman" w:hAnsi="Times New Roman" w:cs="Times New Roman"/>
          <w:sz w:val="28"/>
          <w:szCs w:val="28"/>
          <w:highlight w:val="yellow"/>
        </w:rPr>
        <w:t xml:space="preserve"> </w:t>
      </w:r>
      <w:r w:rsidRPr="00EC20F8">
        <w:rPr>
          <w:rFonts w:ascii="Times New Roman" w:hAnsi="Times New Roman" w:cs="Times New Roman"/>
          <w:sz w:val="28"/>
          <w:szCs w:val="28"/>
        </w:rPr>
        <w:t xml:space="preserve">«Модернизация жилищно-коммунального комплекса и инженерной инфраструктуры Петропавловск-Камчатского городского округа на 2010-2015 годы», а так же инвестиционная программа МУП «Петропавловский водоканал на 2010-2015 годы». </w:t>
      </w:r>
      <w:proofErr w:type="gramEnd"/>
    </w:p>
    <w:p w:rsidR="00905D0F" w:rsidRPr="00EC20F8" w:rsidRDefault="00905D0F" w:rsidP="00905D0F">
      <w:pPr>
        <w:tabs>
          <w:tab w:val="left" w:pos="1134"/>
        </w:tabs>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В отчетном году для повышения качества и надежности предоставления жилищно-коммунальных услуг населению городского округа, снижения уровня износа объектов коммунальной  инфраструктуры, а также для снижения уровня издержек производства, в рамках муниципальной долгосрочной  целевые программы «Модернизация жилищно-коммунального комплекса и инженерной инфраструктуры Петропавловск-Камчатского городского округа на 2010-2015 годы» были выполнены ремонтные работы участков тепловых сетей от здания ЦТП «Связь» по проспекту Победы, 49а</w:t>
      </w:r>
      <w:proofErr w:type="gramEnd"/>
      <w:r w:rsidRPr="00EC20F8">
        <w:rPr>
          <w:rFonts w:ascii="Times New Roman" w:hAnsi="Times New Roman" w:cs="Times New Roman"/>
          <w:sz w:val="28"/>
          <w:szCs w:val="28"/>
        </w:rPr>
        <w:t xml:space="preserve"> </w:t>
      </w:r>
      <w:proofErr w:type="gramStart"/>
      <w:r w:rsidRPr="00EC20F8">
        <w:rPr>
          <w:rFonts w:ascii="Times New Roman" w:hAnsi="Times New Roman" w:cs="Times New Roman"/>
          <w:sz w:val="28"/>
          <w:szCs w:val="28"/>
        </w:rPr>
        <w:t>до зданий общежитий по проспекту Победы, 47/1, 49/1, 51;</w:t>
      </w:r>
      <w:r w:rsidRPr="00EC20F8">
        <w:rPr>
          <w:rFonts w:ascii="Times New Roman" w:hAnsi="Times New Roman" w:cs="Times New Roman"/>
          <w:b/>
          <w:i/>
          <w:sz w:val="28"/>
          <w:szCs w:val="28"/>
        </w:rPr>
        <w:t xml:space="preserve"> </w:t>
      </w:r>
      <w:r w:rsidRPr="00EC20F8">
        <w:rPr>
          <w:rFonts w:ascii="Times New Roman" w:hAnsi="Times New Roman" w:cs="Times New Roman"/>
          <w:sz w:val="28"/>
          <w:szCs w:val="28"/>
        </w:rPr>
        <w:t>3 жилых дома</w:t>
      </w:r>
      <w:r w:rsidRPr="00EC20F8">
        <w:rPr>
          <w:rFonts w:ascii="Times New Roman" w:hAnsi="Times New Roman" w:cs="Times New Roman"/>
          <w:b/>
          <w:i/>
          <w:sz w:val="28"/>
          <w:szCs w:val="28"/>
        </w:rPr>
        <w:t xml:space="preserve"> </w:t>
      </w:r>
      <w:r w:rsidRPr="00EC20F8">
        <w:rPr>
          <w:rFonts w:ascii="Times New Roman" w:hAnsi="Times New Roman" w:cs="Times New Roman"/>
          <w:sz w:val="28"/>
          <w:szCs w:val="28"/>
        </w:rPr>
        <w:t xml:space="preserve">переведены на централизованное горячее водоснабжение, в том числе произведена реконструкция 561 погонных метров тепловых сетей, осуществлен монтаж 2 модульных автоматизированных </w:t>
      </w:r>
      <w:proofErr w:type="spellStart"/>
      <w:r w:rsidRPr="00EC20F8">
        <w:rPr>
          <w:rFonts w:ascii="Times New Roman" w:hAnsi="Times New Roman" w:cs="Times New Roman"/>
          <w:sz w:val="28"/>
          <w:szCs w:val="28"/>
        </w:rPr>
        <w:t>электрокотельных</w:t>
      </w:r>
      <w:proofErr w:type="spellEnd"/>
      <w:r w:rsidRPr="00EC20F8">
        <w:rPr>
          <w:rFonts w:ascii="Times New Roman" w:hAnsi="Times New Roman" w:cs="Times New Roman"/>
          <w:sz w:val="28"/>
          <w:szCs w:val="28"/>
        </w:rPr>
        <w:t>; заменено 495 погонных метров  ветхих инженерных сетей теплоснабжения и 17,5 км ветхих инженерных сетей водоснабжения.</w:t>
      </w:r>
      <w:proofErr w:type="gramEnd"/>
      <w:r w:rsidRPr="00EC20F8">
        <w:rPr>
          <w:rFonts w:ascii="Times New Roman" w:hAnsi="Times New Roman" w:cs="Times New Roman"/>
          <w:b/>
          <w:i/>
          <w:sz w:val="28"/>
          <w:szCs w:val="28"/>
        </w:rPr>
        <w:t xml:space="preserve"> </w:t>
      </w:r>
      <w:r w:rsidRPr="00EC20F8">
        <w:rPr>
          <w:rFonts w:ascii="Times New Roman" w:hAnsi="Times New Roman" w:cs="Times New Roman"/>
          <w:sz w:val="28"/>
          <w:szCs w:val="28"/>
        </w:rPr>
        <w:t>Для проведения аварийно-восстановительных работ и формирования аварийного запаса закуплена  запорная арматура и трубопроводная продукция (900 штук).</w:t>
      </w:r>
      <w:r w:rsidRPr="00EC20F8">
        <w:rPr>
          <w:rFonts w:ascii="Times New Roman" w:hAnsi="Times New Roman" w:cs="Times New Roman"/>
          <w:b/>
          <w:i/>
          <w:sz w:val="28"/>
          <w:szCs w:val="28"/>
        </w:rPr>
        <w:t xml:space="preserve"> </w:t>
      </w:r>
      <w:r w:rsidRPr="00EC20F8">
        <w:rPr>
          <w:rFonts w:ascii="Times New Roman" w:hAnsi="Times New Roman" w:cs="Times New Roman"/>
          <w:sz w:val="28"/>
          <w:szCs w:val="28"/>
        </w:rPr>
        <w:t>Для капитального ремонта проведено обследование конструкций зданий ВНС «Моховая» и получено заключение о техническом состоянии и сейсмостойкости строительных конструкций объекта.</w:t>
      </w:r>
    </w:p>
    <w:p w:rsidR="00905D0F" w:rsidRPr="00EC20F8" w:rsidRDefault="00905D0F" w:rsidP="00905D0F">
      <w:pPr>
        <w:autoSpaceDE w:val="0"/>
        <w:autoSpaceDN w:val="0"/>
        <w:adjustRightInd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В целях проведения технического учета и технической инвентаризации</w:t>
      </w:r>
      <w:r w:rsidRPr="00EC20F8">
        <w:rPr>
          <w:rFonts w:ascii="Times New Roman" w:hAnsi="Times New Roman" w:cs="Times New Roman"/>
          <w:sz w:val="28"/>
          <w:szCs w:val="28"/>
          <w:u w:val="single"/>
        </w:rPr>
        <w:t xml:space="preserve"> </w:t>
      </w:r>
      <w:r w:rsidRPr="00EC20F8">
        <w:rPr>
          <w:rFonts w:ascii="Times New Roman" w:hAnsi="Times New Roman" w:cs="Times New Roman"/>
          <w:sz w:val="28"/>
          <w:szCs w:val="28"/>
        </w:rPr>
        <w:t xml:space="preserve">недвижимого имущества предприятий жилищно-коммунального хозяйства городского округа проведены землеустроительные и кадастровые работы на объектах водоснабжения и водоотведения. </w:t>
      </w:r>
    </w:p>
    <w:p w:rsidR="00905D0F" w:rsidRPr="00EC20F8" w:rsidRDefault="00905D0F" w:rsidP="00905D0F">
      <w:pPr>
        <w:autoSpaceDE w:val="0"/>
        <w:autoSpaceDN w:val="0"/>
        <w:adjustRightInd w:val="0"/>
        <w:spacing w:line="240" w:lineRule="auto"/>
        <w:ind w:firstLine="709"/>
        <w:jc w:val="both"/>
        <w:rPr>
          <w:rFonts w:ascii="Times New Roman" w:eastAsia="Calibri" w:hAnsi="Times New Roman" w:cs="Times New Roman"/>
          <w:sz w:val="28"/>
          <w:szCs w:val="28"/>
        </w:rPr>
      </w:pPr>
      <w:proofErr w:type="gramStart"/>
      <w:r w:rsidRPr="00EC20F8">
        <w:rPr>
          <w:rFonts w:ascii="Times New Roman" w:hAnsi="Times New Roman" w:cs="Times New Roman"/>
          <w:sz w:val="28"/>
          <w:szCs w:val="28"/>
        </w:rPr>
        <w:t>Основные мероприятия муниципальной долгосрочной целевой программы «Чистая вода в Петропавловск-Камчатском городском округе на 2012-2017 годы»</w:t>
      </w:r>
      <w:r w:rsidRPr="00EC20F8">
        <w:rPr>
          <w:rFonts w:ascii="Times New Roman" w:eastAsia="Calibri" w:hAnsi="Times New Roman" w:cs="Times New Roman"/>
          <w:sz w:val="28"/>
          <w:szCs w:val="28"/>
        </w:rPr>
        <w:t xml:space="preserve"> в 2013 году</w:t>
      </w:r>
      <w:r w:rsidRPr="00EC20F8">
        <w:rPr>
          <w:rFonts w:ascii="Times New Roman" w:eastAsia="Calibri" w:hAnsi="Times New Roman" w:cs="Times New Roman"/>
          <w:i/>
          <w:sz w:val="28"/>
          <w:szCs w:val="28"/>
        </w:rPr>
        <w:t xml:space="preserve"> </w:t>
      </w:r>
      <w:r w:rsidRPr="00EC20F8">
        <w:rPr>
          <w:rFonts w:ascii="Times New Roman" w:eastAsia="Calibri" w:hAnsi="Times New Roman" w:cs="Times New Roman"/>
          <w:sz w:val="28"/>
          <w:szCs w:val="28"/>
        </w:rPr>
        <w:t xml:space="preserve">были направлены на </w:t>
      </w:r>
      <w:r w:rsidRPr="00EC20F8">
        <w:rPr>
          <w:rFonts w:ascii="Times New Roman" w:hAnsi="Times New Roman" w:cs="Times New Roman"/>
          <w:sz w:val="28"/>
          <w:szCs w:val="28"/>
        </w:rPr>
        <w:t>решение задач по обеспечению населения городского округа питьевой водой, соответствующей требованиям санитарного законодательства: выполнены работы по устройству  ограждения зон санитарной очисти водонасосной станции (ВНС) и резервуаров чистой воды (РВЧ) протяженностью 430 погонных метров, берегоукрепительные работы на ВНС «Кабан-ручей» и</w:t>
      </w:r>
      <w:proofErr w:type="gramEnd"/>
      <w:r w:rsidRPr="00EC20F8">
        <w:rPr>
          <w:rFonts w:ascii="Times New Roman" w:hAnsi="Times New Roman" w:cs="Times New Roman"/>
          <w:sz w:val="28"/>
          <w:szCs w:val="28"/>
        </w:rPr>
        <w:t xml:space="preserve"> реконструкции двух РЧВ «</w:t>
      </w:r>
      <w:proofErr w:type="gramStart"/>
      <w:r w:rsidRPr="00EC20F8">
        <w:rPr>
          <w:rFonts w:ascii="Times New Roman" w:hAnsi="Times New Roman" w:cs="Times New Roman"/>
          <w:sz w:val="28"/>
          <w:szCs w:val="28"/>
        </w:rPr>
        <w:t>Нагорный</w:t>
      </w:r>
      <w:proofErr w:type="gramEnd"/>
      <w:r w:rsidRPr="00EC20F8">
        <w:rPr>
          <w:rFonts w:ascii="Times New Roman" w:hAnsi="Times New Roman" w:cs="Times New Roman"/>
          <w:sz w:val="28"/>
          <w:szCs w:val="28"/>
        </w:rPr>
        <w:t>» площадью 256 квадратных метров,</w:t>
      </w:r>
      <w:r w:rsidRPr="00EC20F8">
        <w:rPr>
          <w:rFonts w:ascii="Times New Roman" w:eastAsia="Calibri" w:hAnsi="Times New Roman" w:cs="Times New Roman"/>
          <w:sz w:val="28"/>
          <w:szCs w:val="28"/>
        </w:rPr>
        <w:t xml:space="preserve"> проведена реконструкция приемной камеры и здания решеток канализационных очистных сооружений «Чавыча», закуплено 5 единиц техники для ее проведения,</w:t>
      </w:r>
      <w:r w:rsidRPr="00EC20F8">
        <w:rPr>
          <w:rFonts w:ascii="Times New Roman" w:hAnsi="Times New Roman" w:cs="Times New Roman"/>
          <w:sz w:val="28"/>
          <w:szCs w:val="28"/>
        </w:rPr>
        <w:t xml:space="preserve"> осуществлены р</w:t>
      </w:r>
      <w:r w:rsidRPr="00EC20F8">
        <w:rPr>
          <w:rFonts w:ascii="Times New Roman" w:eastAsia="Calibri" w:hAnsi="Times New Roman" w:cs="Times New Roman"/>
          <w:sz w:val="28"/>
          <w:szCs w:val="28"/>
        </w:rPr>
        <w:t>еконструкция и строительство сетей водоснабжения протяженностью 505</w:t>
      </w:r>
      <w:r w:rsidRPr="00EC20F8">
        <w:rPr>
          <w:rFonts w:ascii="Times New Roman" w:hAnsi="Times New Roman" w:cs="Times New Roman"/>
          <w:sz w:val="28"/>
          <w:szCs w:val="28"/>
        </w:rPr>
        <w:t xml:space="preserve"> погонных метров</w:t>
      </w:r>
      <w:r w:rsidRPr="00EC20F8">
        <w:rPr>
          <w:rFonts w:ascii="Times New Roman" w:eastAsia="Calibri" w:hAnsi="Times New Roman" w:cs="Times New Roman"/>
          <w:sz w:val="28"/>
          <w:szCs w:val="28"/>
        </w:rPr>
        <w:t xml:space="preserve"> (п. Заозерный).</w:t>
      </w:r>
    </w:p>
    <w:p w:rsidR="00905D0F" w:rsidRPr="00EC20F8" w:rsidRDefault="00905D0F" w:rsidP="00905D0F">
      <w:pPr>
        <w:autoSpaceDE w:val="0"/>
        <w:autoSpaceDN w:val="0"/>
        <w:adjustRightInd w:val="0"/>
        <w:spacing w:line="240" w:lineRule="auto"/>
        <w:ind w:firstLine="709"/>
        <w:jc w:val="both"/>
        <w:rPr>
          <w:rFonts w:ascii="Times New Roman" w:eastAsia="Calibri" w:hAnsi="Times New Roman" w:cs="Times New Roman"/>
          <w:sz w:val="28"/>
          <w:szCs w:val="28"/>
        </w:rPr>
      </w:pPr>
      <w:proofErr w:type="gramStart"/>
      <w:r w:rsidRPr="00EC20F8">
        <w:rPr>
          <w:rFonts w:ascii="Times New Roman" w:eastAsia="Calibri" w:hAnsi="Times New Roman" w:cs="Times New Roman"/>
          <w:sz w:val="28"/>
          <w:szCs w:val="28"/>
        </w:rPr>
        <w:t>Заключены муниципальные контракты и выполнялись проектные работы на реконструкцию распределительных сетей водоснабжения (диаметром до 300 мм) Центральной и Северо-западной части города и реконструкцию системы водоотведения Центральной части город,  работы продолжаются в 2014 году.</w:t>
      </w:r>
      <w:proofErr w:type="gramEnd"/>
    </w:p>
    <w:p w:rsidR="00905D0F" w:rsidRPr="00EC20F8" w:rsidRDefault="00905D0F" w:rsidP="00905D0F">
      <w:pPr>
        <w:autoSpaceDE w:val="0"/>
        <w:autoSpaceDN w:val="0"/>
        <w:adjustRightInd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В рамках инвестиционной программы МУП «Петропавловский водоканал на 2010-2015 годы» за счет средств бюджета городского округа продолжена реконструкция канализационных очистных сооружений «Чавыча» и установлены резервные источники энергоснабжения на объектах водоснабжения.</w:t>
      </w:r>
    </w:p>
    <w:p w:rsidR="00905D0F" w:rsidRPr="00EC20F8" w:rsidRDefault="00905D0F" w:rsidP="00905D0F">
      <w:pPr>
        <w:autoSpaceDE w:val="0"/>
        <w:autoSpaceDN w:val="0"/>
        <w:adjustRightInd w:val="0"/>
        <w:spacing w:line="240" w:lineRule="auto"/>
        <w:ind w:firstLine="709"/>
        <w:jc w:val="both"/>
        <w:rPr>
          <w:rFonts w:ascii="Times New Roman" w:hAnsi="Times New Roman" w:cs="Times New Roman"/>
          <w:sz w:val="28"/>
          <w:szCs w:val="28"/>
          <w:highlight w:val="lightGray"/>
        </w:rPr>
      </w:pPr>
      <w:r w:rsidRPr="00EC20F8">
        <w:rPr>
          <w:rFonts w:ascii="Times New Roman" w:hAnsi="Times New Roman" w:cs="Times New Roman"/>
          <w:b/>
          <w:i/>
          <w:sz w:val="28"/>
          <w:szCs w:val="28"/>
        </w:rPr>
        <w:t xml:space="preserve">В 2014 году </w:t>
      </w:r>
      <w:r w:rsidRPr="00EC20F8">
        <w:rPr>
          <w:rFonts w:ascii="Times New Roman" w:hAnsi="Times New Roman" w:cs="Times New Roman"/>
          <w:sz w:val="28"/>
          <w:szCs w:val="28"/>
        </w:rPr>
        <w:t xml:space="preserve">в рамках муниципальной программы «Энергоэффективность, развитие энергетики и коммунального хозяйства, обеспечение жителей </w:t>
      </w:r>
      <w:proofErr w:type="gramStart"/>
      <w:r w:rsidRPr="00EC20F8">
        <w:rPr>
          <w:rFonts w:ascii="Times New Roman" w:hAnsi="Times New Roman" w:cs="Times New Roman"/>
          <w:sz w:val="28"/>
          <w:szCs w:val="28"/>
        </w:rPr>
        <w:t>Петропавловск-Камчатского</w:t>
      </w:r>
      <w:proofErr w:type="gramEnd"/>
      <w:r w:rsidRPr="00EC20F8">
        <w:rPr>
          <w:rFonts w:ascii="Times New Roman" w:hAnsi="Times New Roman" w:cs="Times New Roman"/>
          <w:sz w:val="28"/>
          <w:szCs w:val="28"/>
        </w:rPr>
        <w:t xml:space="preserve"> городского округа коммунальными услугами, услугами по благоустройству территории и охрана окружающей среды» (подпрограмма 2 «Модернизация жилищно-коммунального хозяйства Петропавловск - Камчатского городского округа») будет продолжена модернизация жилищно-коммунального хозяйства. </w:t>
      </w:r>
    </w:p>
    <w:p w:rsidR="00905D0F" w:rsidRPr="00EC20F8" w:rsidRDefault="00905D0F" w:rsidP="00905D0F">
      <w:pPr>
        <w:autoSpaceDE w:val="0"/>
        <w:autoSpaceDN w:val="0"/>
        <w:adjustRightInd w:val="0"/>
        <w:spacing w:line="240" w:lineRule="auto"/>
        <w:ind w:firstLine="709"/>
        <w:jc w:val="both"/>
        <w:rPr>
          <w:rFonts w:ascii="Times New Roman" w:hAnsi="Times New Roman" w:cs="Times New Roman"/>
          <w:sz w:val="28"/>
          <w:szCs w:val="28"/>
          <w:highlight w:val="lightGray"/>
        </w:rPr>
      </w:pPr>
      <w:proofErr w:type="gramStart"/>
      <w:r w:rsidRPr="00EC20F8">
        <w:rPr>
          <w:rFonts w:ascii="Times New Roman" w:hAnsi="Times New Roman" w:cs="Times New Roman"/>
          <w:sz w:val="28"/>
          <w:szCs w:val="28"/>
        </w:rPr>
        <w:t>Для снижения уровня износа и повышения эффективности работы инженерных коммуникаций теплоснабжения и электроснабжения</w:t>
      </w:r>
      <w:r w:rsidRPr="00EC20F8">
        <w:rPr>
          <w:rFonts w:ascii="Times New Roman" w:eastAsia="Times New Roman" w:hAnsi="Times New Roman" w:cs="Times New Roman"/>
          <w:sz w:val="28"/>
          <w:szCs w:val="28"/>
          <w:lang w:eastAsia="ru-RU"/>
        </w:rPr>
        <w:t xml:space="preserve"> в текущем году планируется замена ветхих инженерных сетей электроснабжения и инженерных сетей теплоснабжения протяженностью 7,3 км;  реконструкция тепловых сетей в рамках перевода жилых домов на централизованное горячее водоснабжение (переходящий контракта от 31.10.2013);</w:t>
      </w:r>
      <w:proofErr w:type="gramEnd"/>
      <w:r w:rsidRPr="00EC20F8">
        <w:rPr>
          <w:rFonts w:ascii="Times New Roman" w:eastAsia="Times New Roman" w:hAnsi="Times New Roman" w:cs="Times New Roman"/>
          <w:sz w:val="28"/>
          <w:szCs w:val="28"/>
          <w:lang w:eastAsia="ru-RU"/>
        </w:rPr>
        <w:t xml:space="preserve"> подготовка ПСД на реконструкцию тепловых сетей в рамках перевода жилых домов на централизованное горячее водоснабжение; подключение к сетям электроснабжения транспортабельных модульных автоматизированных котельных, установленных по улице Строительная, д. 123а, 133 для муниципальных нужд городского округа (компенсация расходов ОАО </w:t>
      </w:r>
      <w:r w:rsidRPr="00EC20F8">
        <w:rPr>
          <w:rFonts w:ascii="Times New Roman" w:hAnsi="Times New Roman" w:cs="Times New Roman"/>
          <w:sz w:val="28"/>
          <w:szCs w:val="28"/>
        </w:rPr>
        <w:t>«</w:t>
      </w:r>
      <w:r w:rsidRPr="00EC20F8">
        <w:rPr>
          <w:rFonts w:ascii="Times New Roman" w:eastAsia="Times New Roman" w:hAnsi="Times New Roman" w:cs="Times New Roman"/>
          <w:sz w:val="28"/>
          <w:szCs w:val="28"/>
          <w:lang w:eastAsia="ru-RU"/>
        </w:rPr>
        <w:t>КЭ</w:t>
      </w:r>
      <w:r w:rsidRPr="00EC20F8">
        <w:rPr>
          <w:rFonts w:ascii="Times New Roman" w:hAnsi="Times New Roman" w:cs="Times New Roman"/>
          <w:sz w:val="28"/>
          <w:szCs w:val="28"/>
        </w:rPr>
        <w:t>»</w:t>
      </w:r>
      <w:r w:rsidRPr="00EC20F8">
        <w:rPr>
          <w:rFonts w:ascii="Times New Roman" w:eastAsia="Times New Roman" w:hAnsi="Times New Roman" w:cs="Times New Roman"/>
          <w:sz w:val="28"/>
          <w:szCs w:val="28"/>
          <w:lang w:eastAsia="ru-RU"/>
        </w:rPr>
        <w:t>).</w:t>
      </w:r>
    </w:p>
    <w:p w:rsidR="00905D0F" w:rsidRPr="00EC20F8" w:rsidRDefault="00905D0F" w:rsidP="00905D0F">
      <w:pPr>
        <w:spacing w:line="240" w:lineRule="auto"/>
        <w:ind w:firstLine="709"/>
        <w:jc w:val="both"/>
        <w:rPr>
          <w:rFonts w:ascii="Times New Roman" w:eastAsia="Times New Roman" w:hAnsi="Times New Roman" w:cs="Times New Roman"/>
          <w:sz w:val="28"/>
          <w:szCs w:val="28"/>
          <w:lang w:eastAsia="ru-RU"/>
        </w:rPr>
      </w:pPr>
      <w:proofErr w:type="gramStart"/>
      <w:r w:rsidRPr="00EC20F8">
        <w:rPr>
          <w:rFonts w:ascii="Times New Roman" w:eastAsia="Times New Roman" w:hAnsi="Times New Roman" w:cs="Times New Roman"/>
          <w:sz w:val="28"/>
          <w:szCs w:val="28"/>
          <w:lang w:eastAsia="ru-RU"/>
        </w:rPr>
        <w:t xml:space="preserve">Для улучшения работы систем водоснабжения и водоотведения планируется реконструкция (строительство) резервуаров чистой воды (РВЧ </w:t>
      </w:r>
      <w:r w:rsidRPr="00EC20F8">
        <w:rPr>
          <w:rFonts w:ascii="Times New Roman" w:hAnsi="Times New Roman" w:cs="Times New Roman"/>
          <w:sz w:val="28"/>
          <w:szCs w:val="28"/>
        </w:rPr>
        <w:t>«</w:t>
      </w:r>
      <w:r w:rsidRPr="00EC20F8">
        <w:rPr>
          <w:rFonts w:ascii="Times New Roman" w:eastAsia="Times New Roman" w:hAnsi="Times New Roman" w:cs="Times New Roman"/>
          <w:sz w:val="28"/>
          <w:szCs w:val="28"/>
          <w:lang w:eastAsia="ru-RU"/>
        </w:rPr>
        <w:t>Высотная</w:t>
      </w:r>
      <w:r w:rsidRPr="00EC20F8">
        <w:rPr>
          <w:rFonts w:ascii="Times New Roman" w:hAnsi="Times New Roman" w:cs="Times New Roman"/>
          <w:sz w:val="28"/>
          <w:szCs w:val="28"/>
        </w:rPr>
        <w:t>»</w:t>
      </w:r>
      <w:r w:rsidRPr="00EC20F8">
        <w:rPr>
          <w:rFonts w:ascii="Times New Roman" w:eastAsia="Times New Roman" w:hAnsi="Times New Roman" w:cs="Times New Roman"/>
          <w:sz w:val="28"/>
          <w:szCs w:val="28"/>
          <w:lang w:eastAsia="ru-RU"/>
        </w:rPr>
        <w:t xml:space="preserve">, РВЧ </w:t>
      </w:r>
      <w:r w:rsidRPr="00EC20F8">
        <w:rPr>
          <w:rFonts w:ascii="Times New Roman" w:hAnsi="Times New Roman" w:cs="Times New Roman"/>
          <w:sz w:val="28"/>
          <w:szCs w:val="28"/>
        </w:rPr>
        <w:t>«</w:t>
      </w:r>
      <w:proofErr w:type="spellStart"/>
      <w:r w:rsidRPr="00EC20F8">
        <w:rPr>
          <w:rFonts w:ascii="Times New Roman" w:eastAsia="Times New Roman" w:hAnsi="Times New Roman" w:cs="Times New Roman"/>
          <w:sz w:val="28"/>
          <w:szCs w:val="28"/>
          <w:lang w:eastAsia="ru-RU"/>
        </w:rPr>
        <w:t>Богородское</w:t>
      </w:r>
      <w:proofErr w:type="spellEnd"/>
      <w:r w:rsidRPr="00EC20F8">
        <w:rPr>
          <w:rFonts w:ascii="Times New Roman" w:eastAsia="Times New Roman" w:hAnsi="Times New Roman" w:cs="Times New Roman"/>
          <w:sz w:val="28"/>
          <w:szCs w:val="28"/>
          <w:lang w:eastAsia="ru-RU"/>
        </w:rPr>
        <w:t xml:space="preserve"> озеро</w:t>
      </w:r>
      <w:r w:rsidRPr="00EC20F8">
        <w:rPr>
          <w:rFonts w:ascii="Times New Roman" w:hAnsi="Times New Roman" w:cs="Times New Roman"/>
          <w:sz w:val="28"/>
          <w:szCs w:val="28"/>
        </w:rPr>
        <w:t>»)</w:t>
      </w:r>
      <w:r w:rsidRPr="00EC20F8">
        <w:rPr>
          <w:rFonts w:ascii="Times New Roman" w:eastAsia="Times New Roman" w:hAnsi="Times New Roman" w:cs="Times New Roman"/>
          <w:sz w:val="28"/>
          <w:szCs w:val="28"/>
          <w:lang w:eastAsia="ru-RU"/>
        </w:rPr>
        <w:t xml:space="preserve"> и модернизации объектов водоснабжения («Реконструкция систем водоснабжения </w:t>
      </w:r>
      <w:proofErr w:type="spellStart"/>
      <w:r w:rsidRPr="00EC20F8">
        <w:rPr>
          <w:rFonts w:ascii="Times New Roman" w:eastAsia="Times New Roman" w:hAnsi="Times New Roman" w:cs="Times New Roman"/>
          <w:sz w:val="28"/>
          <w:szCs w:val="28"/>
          <w:lang w:eastAsia="ru-RU"/>
        </w:rPr>
        <w:t>Юговосточной</w:t>
      </w:r>
      <w:proofErr w:type="spellEnd"/>
      <w:r w:rsidRPr="00EC20F8">
        <w:rPr>
          <w:rFonts w:ascii="Times New Roman" w:eastAsia="Times New Roman" w:hAnsi="Times New Roman" w:cs="Times New Roman"/>
          <w:sz w:val="28"/>
          <w:szCs w:val="28"/>
          <w:lang w:eastAsia="ru-RU"/>
        </w:rPr>
        <w:t xml:space="preserve"> части города Петропавловска-Камчатского (этап 1), строительство перемычки по госпитальному переулку от РВЧ пр.</w:t>
      </w:r>
      <w:proofErr w:type="gramEnd"/>
      <w:r w:rsidRPr="00EC20F8">
        <w:rPr>
          <w:rFonts w:ascii="Times New Roman" w:eastAsia="Times New Roman" w:hAnsi="Times New Roman" w:cs="Times New Roman"/>
          <w:sz w:val="28"/>
          <w:szCs w:val="28"/>
          <w:lang w:eastAsia="ru-RU"/>
        </w:rPr>
        <w:t xml:space="preserve"> Циолковского, 3/1 до ул. </w:t>
      </w:r>
      <w:proofErr w:type="gramStart"/>
      <w:r w:rsidRPr="00EC20F8">
        <w:rPr>
          <w:rFonts w:ascii="Times New Roman" w:eastAsia="Times New Roman" w:hAnsi="Times New Roman" w:cs="Times New Roman"/>
          <w:sz w:val="28"/>
          <w:szCs w:val="28"/>
          <w:lang w:eastAsia="ru-RU"/>
        </w:rPr>
        <w:t>Пограничной</w:t>
      </w:r>
      <w:proofErr w:type="gramEnd"/>
      <w:r w:rsidRPr="00EC20F8">
        <w:rPr>
          <w:rFonts w:ascii="Times New Roman" w:eastAsia="Times New Roman" w:hAnsi="Times New Roman" w:cs="Times New Roman"/>
          <w:sz w:val="28"/>
          <w:szCs w:val="28"/>
          <w:lang w:eastAsia="ru-RU"/>
        </w:rPr>
        <w:t xml:space="preserve"> , 31а (1 этап строительства)</w:t>
      </w:r>
      <w:r w:rsidRPr="00EC20F8">
        <w:rPr>
          <w:rFonts w:ascii="Times New Roman" w:hAnsi="Times New Roman" w:cs="Times New Roman"/>
          <w:sz w:val="28"/>
          <w:szCs w:val="28"/>
        </w:rPr>
        <w:t xml:space="preserve">». </w:t>
      </w:r>
      <w:r w:rsidRPr="00EC20F8">
        <w:rPr>
          <w:rFonts w:ascii="Times New Roman" w:eastAsia="Times New Roman" w:hAnsi="Times New Roman" w:cs="Times New Roman"/>
          <w:sz w:val="28"/>
          <w:szCs w:val="28"/>
          <w:lang w:eastAsia="ru-RU"/>
        </w:rPr>
        <w:t xml:space="preserve"> </w:t>
      </w:r>
      <w:proofErr w:type="gramStart"/>
      <w:r w:rsidRPr="00EC20F8">
        <w:rPr>
          <w:rFonts w:ascii="Times New Roman" w:eastAsia="Times New Roman" w:hAnsi="Times New Roman" w:cs="Times New Roman"/>
          <w:sz w:val="28"/>
          <w:szCs w:val="28"/>
          <w:lang w:eastAsia="ru-RU"/>
        </w:rPr>
        <w:t>Будут выполняться работы по замене ветхих инженерных сетей водоснабжения и водоотведения, устройству ограждений зон санитарной охраны водозаборов (11 км), установке резервных источников электроснабжения и плавных пусков на объектах водоснабжения и автоматизации и модернизации оборудования водопроводных насосных станций, ведутся работы по обеспечению пожарной безопасности объектов (установка пожарных гидрантов).</w:t>
      </w:r>
      <w:proofErr w:type="gramEnd"/>
    </w:p>
    <w:p w:rsidR="00905D0F" w:rsidRPr="00EC20F8" w:rsidRDefault="00905D0F" w:rsidP="00905D0F">
      <w:pPr>
        <w:autoSpaceDE w:val="0"/>
        <w:autoSpaceDN w:val="0"/>
        <w:adjustRightInd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В целях проведения технического учета и технической инвентаризации</w:t>
      </w:r>
      <w:r w:rsidRPr="00EC20F8">
        <w:rPr>
          <w:rFonts w:ascii="Times New Roman" w:hAnsi="Times New Roman" w:cs="Times New Roman"/>
          <w:sz w:val="28"/>
          <w:szCs w:val="28"/>
          <w:u w:val="single"/>
        </w:rPr>
        <w:t xml:space="preserve"> </w:t>
      </w:r>
      <w:r w:rsidRPr="00EC20F8">
        <w:rPr>
          <w:rFonts w:ascii="Times New Roman" w:hAnsi="Times New Roman" w:cs="Times New Roman"/>
          <w:sz w:val="28"/>
          <w:szCs w:val="28"/>
        </w:rPr>
        <w:t xml:space="preserve">недвижимого имущества предприятий жилищно-коммунального хозяйства городского округа проведены землеустроительные и кадастровые работы на объектах водоснабжения и водоотведения. </w:t>
      </w:r>
    </w:p>
    <w:p w:rsidR="00905D0F" w:rsidRPr="00EC20F8" w:rsidRDefault="00905D0F" w:rsidP="00905D0F">
      <w:pPr>
        <w:spacing w:line="240" w:lineRule="auto"/>
        <w:ind w:firstLine="709"/>
        <w:jc w:val="both"/>
        <w:rPr>
          <w:rFonts w:ascii="Times New Roman" w:eastAsia="Times New Roman" w:hAnsi="Times New Roman" w:cs="Times New Roman"/>
          <w:b/>
          <w:sz w:val="28"/>
          <w:szCs w:val="28"/>
          <w:lang w:eastAsia="ru-RU"/>
        </w:rPr>
      </w:pPr>
      <w:r w:rsidRPr="00EC20F8">
        <w:rPr>
          <w:rFonts w:ascii="Times New Roman" w:eastAsia="Times New Roman" w:hAnsi="Times New Roman" w:cs="Times New Roman"/>
          <w:sz w:val="28"/>
          <w:szCs w:val="28"/>
          <w:lang w:eastAsia="ru-RU"/>
        </w:rPr>
        <w:t>Будет продолжена реконструкция</w:t>
      </w:r>
      <w:r w:rsidRPr="00EC20F8">
        <w:rPr>
          <w:rFonts w:ascii="Times New Roman" w:hAnsi="Times New Roman" w:cs="Times New Roman"/>
          <w:sz w:val="28"/>
          <w:szCs w:val="28"/>
        </w:rPr>
        <w:t xml:space="preserve"> </w:t>
      </w:r>
      <w:r w:rsidRPr="00EC20F8">
        <w:rPr>
          <w:rFonts w:ascii="Times New Roman" w:eastAsia="Times New Roman" w:hAnsi="Times New Roman" w:cs="Times New Roman"/>
          <w:sz w:val="28"/>
          <w:szCs w:val="28"/>
          <w:lang w:eastAsia="ru-RU"/>
        </w:rPr>
        <w:t xml:space="preserve">канализационных очистных сооружений «Чавыча» (проектные работы) и реконструкция системы водоотведения Северо-Восточной части </w:t>
      </w:r>
      <w:proofErr w:type="gramStart"/>
      <w:r w:rsidRPr="00EC20F8">
        <w:rPr>
          <w:rFonts w:ascii="Times New Roman" w:eastAsia="Times New Roman" w:hAnsi="Times New Roman" w:cs="Times New Roman"/>
          <w:sz w:val="28"/>
          <w:szCs w:val="28"/>
          <w:lang w:eastAsia="ru-RU"/>
        </w:rPr>
        <w:t>г</w:t>
      </w:r>
      <w:proofErr w:type="gramEnd"/>
      <w:r w:rsidRPr="00EC20F8">
        <w:rPr>
          <w:rFonts w:ascii="Times New Roman" w:eastAsia="Times New Roman" w:hAnsi="Times New Roman" w:cs="Times New Roman"/>
          <w:sz w:val="28"/>
          <w:szCs w:val="28"/>
          <w:lang w:eastAsia="ru-RU"/>
        </w:rPr>
        <w:t xml:space="preserve">. Петропавловска-Камчатского (район «Моховая»); проектирование строительства  канализационных коллекторов, канализационных насосных станций и  канализационных очистных сооружений (по объекту </w:t>
      </w:r>
      <w:r w:rsidRPr="00EC20F8">
        <w:rPr>
          <w:rFonts w:ascii="Times New Roman" w:hAnsi="Times New Roman" w:cs="Times New Roman"/>
          <w:sz w:val="28"/>
          <w:szCs w:val="28"/>
        </w:rPr>
        <w:t>«</w:t>
      </w:r>
      <w:r w:rsidRPr="00EC20F8">
        <w:rPr>
          <w:rFonts w:ascii="Times New Roman" w:eastAsia="Times New Roman" w:hAnsi="Times New Roman" w:cs="Times New Roman"/>
          <w:sz w:val="28"/>
          <w:szCs w:val="28"/>
          <w:lang w:eastAsia="ru-RU"/>
        </w:rPr>
        <w:t>Реконструкция и строительство системы водоотведения Восточной и Южной части</w:t>
      </w:r>
      <w:r w:rsidRPr="00EC20F8">
        <w:rPr>
          <w:rFonts w:ascii="Times New Roman" w:hAnsi="Times New Roman" w:cs="Times New Roman"/>
          <w:sz w:val="28"/>
          <w:szCs w:val="28"/>
        </w:rPr>
        <w:t>»)</w:t>
      </w:r>
      <w:r w:rsidRPr="00EC20F8">
        <w:rPr>
          <w:rFonts w:ascii="Times New Roman" w:eastAsia="Times New Roman" w:hAnsi="Times New Roman" w:cs="Times New Roman"/>
          <w:sz w:val="28"/>
          <w:szCs w:val="28"/>
          <w:lang w:eastAsia="ru-RU"/>
        </w:rPr>
        <w:t>.</w:t>
      </w:r>
      <w:r w:rsidRPr="00EC20F8">
        <w:rPr>
          <w:rFonts w:ascii="Times New Roman" w:eastAsia="Times New Roman" w:hAnsi="Times New Roman" w:cs="Times New Roman"/>
          <w:b/>
          <w:sz w:val="28"/>
          <w:szCs w:val="28"/>
          <w:lang w:eastAsia="ru-RU"/>
        </w:rPr>
        <w:t xml:space="preserve"> </w:t>
      </w:r>
    </w:p>
    <w:p w:rsidR="00905D0F" w:rsidRPr="00EC20F8" w:rsidRDefault="00905D0F" w:rsidP="00905D0F">
      <w:pPr>
        <w:autoSpaceDE w:val="0"/>
        <w:autoSpaceDN w:val="0"/>
        <w:adjustRightInd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Не смотря на принимаемые в предшествующие периоды меры, в коммунальном хозяйстве городского округа остаются острыми следующие проблемы:</w:t>
      </w:r>
    </w:p>
    <w:p w:rsidR="00905D0F" w:rsidRPr="00EC20F8" w:rsidRDefault="00905D0F" w:rsidP="00905D0F">
      <w:pPr>
        <w:autoSpaceDE w:val="0"/>
        <w:autoSpaceDN w:val="0"/>
        <w:adjustRightInd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неудовлетворительное техническое состояние тепловых сетей, обусловленное высокой степенью износа сетей (60 - 80 %);</w:t>
      </w:r>
    </w:p>
    <w:p w:rsidR="00905D0F" w:rsidRPr="00EC20F8" w:rsidRDefault="00905D0F" w:rsidP="00905D0F">
      <w:pPr>
        <w:tabs>
          <w:tab w:val="left" w:pos="945"/>
        </w:tabs>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высокая степень износа труб канализационных сетей (79 %), в замене нуждается 91 км труб. Канализационные выпуски подлежат ликвидации;</w:t>
      </w:r>
    </w:p>
    <w:p w:rsidR="00905D0F" w:rsidRPr="00EC20F8" w:rsidRDefault="00905D0F" w:rsidP="00905D0F">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высокий износ инженерных сетей водоснабжения (78 %), в замене нуждается 121 км;</w:t>
      </w:r>
    </w:p>
    <w:p w:rsidR="00905D0F" w:rsidRPr="00EC20F8" w:rsidRDefault="00905D0F" w:rsidP="00905D0F">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отсутствие резервных источников электроснабжения, установленных на объектах водоснабжения;</w:t>
      </w:r>
    </w:p>
    <w:p w:rsidR="00905D0F" w:rsidRPr="00EC20F8" w:rsidRDefault="00905D0F" w:rsidP="00905D0F">
      <w:pPr>
        <w:tabs>
          <w:tab w:val="left" w:pos="945"/>
        </w:tabs>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все насосные станции характеризуются низким уровнем автоматизации;</w:t>
      </w:r>
    </w:p>
    <w:p w:rsidR="00905D0F" w:rsidRPr="00EC20F8" w:rsidRDefault="00905D0F" w:rsidP="00905D0F">
      <w:pPr>
        <w:tabs>
          <w:tab w:val="left" w:pos="945"/>
        </w:tabs>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высокая аварийность  на водопроводных и канализационных сетях.</w:t>
      </w:r>
    </w:p>
    <w:p w:rsidR="00905D0F" w:rsidRPr="00EC20F8" w:rsidRDefault="00905D0F" w:rsidP="00905D0F">
      <w:pPr>
        <w:autoSpaceDE w:val="0"/>
        <w:autoSpaceDN w:val="0"/>
        <w:adjustRightInd w:val="0"/>
        <w:spacing w:line="240" w:lineRule="auto"/>
        <w:ind w:firstLine="709"/>
        <w:jc w:val="both"/>
        <w:rPr>
          <w:rFonts w:ascii="Times New Roman" w:hAnsi="Times New Roman" w:cs="Times New Roman"/>
          <w:sz w:val="28"/>
          <w:szCs w:val="28"/>
        </w:rPr>
      </w:pPr>
      <w:r w:rsidRPr="00EC20F8">
        <w:rPr>
          <w:rFonts w:ascii="Times New Roman" w:hAnsi="Times New Roman" w:cs="Times New Roman"/>
          <w:b/>
          <w:i/>
          <w:sz w:val="28"/>
          <w:szCs w:val="28"/>
        </w:rPr>
        <w:t>В 2015-2017 годах</w:t>
      </w:r>
      <w:r w:rsidRPr="00EC20F8">
        <w:rPr>
          <w:rFonts w:ascii="Times New Roman" w:hAnsi="Times New Roman" w:cs="Times New Roman"/>
          <w:sz w:val="28"/>
          <w:szCs w:val="28"/>
        </w:rPr>
        <w:t xml:space="preserve"> основные направления деятельности администрации </w:t>
      </w:r>
      <w:proofErr w:type="gramStart"/>
      <w:r w:rsidRPr="00EC20F8">
        <w:rPr>
          <w:rFonts w:ascii="Times New Roman" w:hAnsi="Times New Roman" w:cs="Times New Roman"/>
          <w:sz w:val="28"/>
          <w:szCs w:val="28"/>
        </w:rPr>
        <w:t>Петропавловск-Камчатского</w:t>
      </w:r>
      <w:proofErr w:type="gramEnd"/>
      <w:r w:rsidRPr="00EC20F8">
        <w:rPr>
          <w:rFonts w:ascii="Times New Roman" w:hAnsi="Times New Roman" w:cs="Times New Roman"/>
          <w:sz w:val="28"/>
          <w:szCs w:val="28"/>
        </w:rPr>
        <w:t xml:space="preserve"> городского округа в коммунальной сфере  сформированы в муниципальной программе «Энергоэффективность, развитие энергетики и коммунального хозяйства, обеспечение жителей Петропавловск-Камчатского городского округа коммунальными услугами, услугами по благоустройству территории и охрана окружающей среды» (п</w:t>
      </w:r>
      <w:r w:rsidRPr="00EC20F8">
        <w:rPr>
          <w:rFonts w:ascii="Times New Roman" w:eastAsia="Calibri" w:hAnsi="Times New Roman" w:cs="Times New Roman"/>
          <w:sz w:val="28"/>
          <w:szCs w:val="28"/>
        </w:rPr>
        <w:t>одпрограмма 2 «Модернизация жилищно-коммунального хозяйства</w:t>
      </w:r>
      <w:r w:rsidRPr="00EC20F8">
        <w:rPr>
          <w:rFonts w:ascii="Times New Roman" w:hAnsi="Times New Roman" w:cs="Times New Roman"/>
          <w:sz w:val="28"/>
          <w:szCs w:val="28"/>
        </w:rPr>
        <w:t>).</w:t>
      </w:r>
    </w:p>
    <w:p w:rsidR="00D1129C" w:rsidRPr="00EC20F8" w:rsidRDefault="00905D0F" w:rsidP="00D1129C">
      <w:pPr>
        <w:autoSpaceDE w:val="0"/>
        <w:autoSpaceDN w:val="0"/>
        <w:adjustRightInd w:val="0"/>
        <w:ind w:firstLine="720"/>
        <w:jc w:val="both"/>
        <w:rPr>
          <w:rFonts w:ascii="Times New Roman" w:eastAsia="Calibri" w:hAnsi="Times New Roman" w:cs="Times New Roman"/>
          <w:sz w:val="28"/>
          <w:szCs w:val="28"/>
        </w:rPr>
      </w:pPr>
      <w:r w:rsidRPr="00EC20F8">
        <w:rPr>
          <w:rFonts w:ascii="Times New Roman" w:hAnsi="Times New Roman" w:cs="Times New Roman"/>
          <w:sz w:val="28"/>
          <w:szCs w:val="28"/>
        </w:rPr>
        <w:t xml:space="preserve">В рамках подпрограммы  в среднесрочном периоде </w:t>
      </w:r>
      <w:r w:rsidR="00D1129C" w:rsidRPr="00EC20F8">
        <w:rPr>
          <w:rFonts w:ascii="Times New Roman" w:hAnsi="Times New Roman" w:cs="Times New Roman"/>
          <w:sz w:val="28"/>
          <w:szCs w:val="28"/>
        </w:rPr>
        <w:t xml:space="preserve">в целях повышения качества и надежности предоставления жилищно-коммунальных услуг населению городского округа </w:t>
      </w:r>
      <w:r w:rsidR="00D1129C" w:rsidRPr="00EC20F8">
        <w:rPr>
          <w:rFonts w:ascii="Times New Roman" w:eastAsia="Calibri" w:hAnsi="Times New Roman" w:cs="Times New Roman"/>
          <w:sz w:val="28"/>
          <w:szCs w:val="28"/>
        </w:rPr>
        <w:t>предст</w:t>
      </w:r>
      <w:r w:rsidR="005A42A4" w:rsidRPr="00EC20F8">
        <w:rPr>
          <w:rFonts w:ascii="Times New Roman" w:eastAsia="Calibri" w:hAnsi="Times New Roman" w:cs="Times New Roman"/>
          <w:sz w:val="28"/>
          <w:szCs w:val="28"/>
        </w:rPr>
        <w:t>о</w:t>
      </w:r>
      <w:r w:rsidR="00D1129C" w:rsidRPr="00EC20F8">
        <w:rPr>
          <w:rFonts w:ascii="Times New Roman" w:eastAsia="Calibri" w:hAnsi="Times New Roman" w:cs="Times New Roman"/>
          <w:sz w:val="28"/>
          <w:szCs w:val="28"/>
        </w:rPr>
        <w:t>ит</w:t>
      </w:r>
      <w:r w:rsidR="005A42A4" w:rsidRPr="00EC20F8">
        <w:rPr>
          <w:rFonts w:ascii="Times New Roman" w:eastAsia="Calibri" w:hAnsi="Times New Roman" w:cs="Times New Roman"/>
          <w:sz w:val="28"/>
          <w:szCs w:val="28"/>
        </w:rPr>
        <w:t xml:space="preserve"> решить </w:t>
      </w:r>
      <w:r w:rsidR="00FF61A5" w:rsidRPr="00EC20F8">
        <w:rPr>
          <w:rFonts w:ascii="Times New Roman" w:hAnsi="Times New Roman" w:cs="Times New Roman"/>
          <w:sz w:val="28"/>
          <w:szCs w:val="28"/>
        </w:rPr>
        <w:t>следующие</w:t>
      </w:r>
      <w:r w:rsidR="00D1129C" w:rsidRPr="00EC20F8">
        <w:rPr>
          <w:rFonts w:ascii="Times New Roman" w:hAnsi="Times New Roman" w:cs="Times New Roman"/>
          <w:sz w:val="28"/>
          <w:szCs w:val="28"/>
        </w:rPr>
        <w:t xml:space="preserve"> задач</w:t>
      </w:r>
      <w:r w:rsidR="00D1129C" w:rsidRPr="00EC20F8">
        <w:rPr>
          <w:rFonts w:ascii="Times New Roman" w:eastAsia="Calibri" w:hAnsi="Times New Roman" w:cs="Times New Roman"/>
          <w:sz w:val="28"/>
          <w:szCs w:val="28"/>
        </w:rPr>
        <w:t>:</w:t>
      </w:r>
    </w:p>
    <w:p w:rsidR="00D1129C" w:rsidRPr="00EC20F8" w:rsidRDefault="00D1129C" w:rsidP="00D1129C">
      <w:pPr>
        <w:autoSpaceDE w:val="0"/>
        <w:autoSpaceDN w:val="0"/>
        <w:adjustRightInd w:val="0"/>
        <w:ind w:firstLine="720"/>
        <w:jc w:val="both"/>
        <w:rPr>
          <w:rFonts w:ascii="Times New Roman" w:hAnsi="Times New Roman" w:cs="Times New Roman"/>
          <w:sz w:val="28"/>
          <w:szCs w:val="28"/>
        </w:rPr>
      </w:pPr>
      <w:proofErr w:type="gramStart"/>
      <w:r w:rsidRPr="00EC20F8">
        <w:rPr>
          <w:rFonts w:ascii="Times New Roman" w:hAnsi="Times New Roman" w:cs="Times New Roman"/>
          <w:sz w:val="28"/>
          <w:szCs w:val="28"/>
        </w:rPr>
        <w:t>- модернизация объектов теплоснабжения и электроснабжения</w:t>
      </w:r>
      <w:r w:rsidR="005A42A4" w:rsidRPr="00EC20F8">
        <w:rPr>
          <w:rFonts w:ascii="Times New Roman" w:hAnsi="Times New Roman" w:cs="Times New Roman"/>
          <w:sz w:val="28"/>
          <w:szCs w:val="28"/>
        </w:rPr>
        <w:t xml:space="preserve"> с целью </w:t>
      </w:r>
      <w:r w:rsidR="005A42A4" w:rsidRPr="00EC20F8">
        <w:rPr>
          <w:rFonts w:ascii="Times New Roman" w:eastAsia="Calibri" w:hAnsi="Times New Roman" w:cs="Times New Roman"/>
          <w:sz w:val="28"/>
          <w:szCs w:val="28"/>
        </w:rPr>
        <w:t>снижения уровня износа и повышения эффективности работы инженерных коммуникаций</w:t>
      </w:r>
      <w:r w:rsidR="005A42A4" w:rsidRPr="00EC20F8">
        <w:rPr>
          <w:rFonts w:ascii="Times New Roman" w:hAnsi="Times New Roman" w:cs="Times New Roman"/>
          <w:sz w:val="28"/>
          <w:szCs w:val="28"/>
        </w:rPr>
        <w:t xml:space="preserve"> путем реконструкции тепловых сетей в рамках перевода на централизованное горячее водоснабжение; содержание капитальный и текущий  ремонт объектов тепло и электроснабжения, а именно замена ветхих инженерных сетей тепло и электроснабжения.</w:t>
      </w:r>
      <w:proofErr w:type="gramEnd"/>
    </w:p>
    <w:p w:rsidR="00F431F6" w:rsidRPr="00EC20F8" w:rsidRDefault="00D1129C" w:rsidP="005A42A4">
      <w:pPr>
        <w:autoSpaceDE w:val="0"/>
        <w:autoSpaceDN w:val="0"/>
        <w:adjustRightInd w:val="0"/>
        <w:ind w:firstLine="720"/>
        <w:jc w:val="both"/>
        <w:rPr>
          <w:rFonts w:ascii="Times New Roman" w:hAnsi="Times New Roman" w:cs="Times New Roman"/>
          <w:sz w:val="28"/>
          <w:szCs w:val="28"/>
        </w:rPr>
      </w:pPr>
      <w:proofErr w:type="gramStart"/>
      <w:r w:rsidRPr="00EC20F8">
        <w:rPr>
          <w:rFonts w:ascii="Times New Roman" w:hAnsi="Times New Roman" w:cs="Times New Roman"/>
          <w:sz w:val="28"/>
          <w:szCs w:val="28"/>
        </w:rPr>
        <w:t>- развитие систем водоснабжения путем строительства и реконструкции водоочистных сооружений, объектов и сетей централизованного водоснабжения, снижение объема сброса загрязненных сточных вод в открытые водоемы за счет укрепления зон санитарной охраны водозаборов и строительства и реконструкции канализационных очистных</w:t>
      </w:r>
      <w:r w:rsidR="005A42A4" w:rsidRPr="00EC20F8">
        <w:rPr>
          <w:rFonts w:ascii="Times New Roman" w:hAnsi="Times New Roman" w:cs="Times New Roman"/>
          <w:sz w:val="28"/>
          <w:szCs w:val="28"/>
        </w:rPr>
        <w:t xml:space="preserve"> сооружений и сетей канализации: планируется реконструкция резервуаров чистой воды, реконструкция и строительство сетей водоснабжения и водоотведения, реконструкция распределительных сетей водоснабжения, реконструкция канализационных очистных сооружений</w:t>
      </w:r>
      <w:proofErr w:type="gramEnd"/>
      <w:r w:rsidR="005A42A4" w:rsidRPr="00EC20F8">
        <w:rPr>
          <w:rFonts w:ascii="Times New Roman" w:hAnsi="Times New Roman" w:cs="Times New Roman"/>
          <w:sz w:val="28"/>
          <w:szCs w:val="28"/>
        </w:rPr>
        <w:t>, реконструкция напорных канализационных коллекторов, реконструкции водозаборов, строительство магистральных водоводов, реконструкция водоприемной насосной станции, реконструкция горизонтального отстойника.</w:t>
      </w:r>
    </w:p>
    <w:p w:rsidR="005A42A4" w:rsidRPr="00EC20F8" w:rsidRDefault="005A42A4" w:rsidP="005A42A4">
      <w:pPr>
        <w:autoSpaceDE w:val="0"/>
        <w:autoSpaceDN w:val="0"/>
        <w:adjustRightInd w:val="0"/>
        <w:ind w:firstLine="720"/>
        <w:jc w:val="both"/>
        <w:rPr>
          <w:rFonts w:ascii="Times New Roman" w:hAnsi="Times New Roman" w:cs="Times New Roman"/>
          <w:sz w:val="28"/>
          <w:szCs w:val="28"/>
        </w:rPr>
      </w:pPr>
      <w:proofErr w:type="gramStart"/>
      <w:r w:rsidRPr="00EC20F8">
        <w:rPr>
          <w:rFonts w:ascii="Times New Roman" w:hAnsi="Times New Roman" w:cs="Times New Roman"/>
          <w:sz w:val="28"/>
          <w:szCs w:val="28"/>
        </w:rPr>
        <w:t>Так же</w:t>
      </w:r>
      <w:r w:rsidR="00F431F6" w:rsidRPr="00EC20F8">
        <w:rPr>
          <w:rFonts w:ascii="Times New Roman" w:hAnsi="Times New Roman" w:cs="Times New Roman"/>
          <w:sz w:val="28"/>
          <w:szCs w:val="28"/>
        </w:rPr>
        <w:t>,</w:t>
      </w:r>
      <w:r w:rsidRPr="00EC20F8">
        <w:rPr>
          <w:rFonts w:ascii="Times New Roman" w:hAnsi="Times New Roman" w:cs="Times New Roman"/>
          <w:sz w:val="28"/>
          <w:szCs w:val="28"/>
        </w:rPr>
        <w:t xml:space="preserve"> в целях развития систем водоснабжения будут про</w:t>
      </w:r>
      <w:r w:rsidR="00FF61A5" w:rsidRPr="00EC20F8">
        <w:rPr>
          <w:rFonts w:ascii="Times New Roman" w:hAnsi="Times New Roman" w:cs="Times New Roman"/>
          <w:sz w:val="28"/>
          <w:szCs w:val="28"/>
        </w:rPr>
        <w:t>ведены мероприятия по содержанию</w:t>
      </w:r>
      <w:r w:rsidRPr="00EC20F8">
        <w:rPr>
          <w:rFonts w:ascii="Times New Roman" w:hAnsi="Times New Roman" w:cs="Times New Roman"/>
          <w:sz w:val="28"/>
          <w:szCs w:val="28"/>
        </w:rPr>
        <w:t>, капитальн</w:t>
      </w:r>
      <w:r w:rsidR="00FF61A5" w:rsidRPr="00EC20F8">
        <w:rPr>
          <w:rFonts w:ascii="Times New Roman" w:hAnsi="Times New Roman" w:cs="Times New Roman"/>
          <w:sz w:val="28"/>
          <w:szCs w:val="28"/>
        </w:rPr>
        <w:t>ому и текущему</w:t>
      </w:r>
      <w:r w:rsidRPr="00EC20F8">
        <w:rPr>
          <w:rFonts w:ascii="Times New Roman" w:hAnsi="Times New Roman" w:cs="Times New Roman"/>
          <w:sz w:val="28"/>
          <w:szCs w:val="28"/>
        </w:rPr>
        <w:t xml:space="preserve"> ремонт</w:t>
      </w:r>
      <w:r w:rsidR="00FF61A5" w:rsidRPr="00EC20F8">
        <w:rPr>
          <w:rFonts w:ascii="Times New Roman" w:hAnsi="Times New Roman" w:cs="Times New Roman"/>
          <w:sz w:val="28"/>
          <w:szCs w:val="28"/>
        </w:rPr>
        <w:t>у</w:t>
      </w:r>
      <w:r w:rsidRPr="00EC20F8">
        <w:rPr>
          <w:rFonts w:ascii="Times New Roman" w:hAnsi="Times New Roman" w:cs="Times New Roman"/>
          <w:sz w:val="28"/>
          <w:szCs w:val="28"/>
        </w:rPr>
        <w:t xml:space="preserve"> объектов водоснабжения: выполнение автоматизации и модернизации оборудования водопроводных и насосных станций; установка систем получения оперативной информации; устройство ограждений санитарной охраны водозаборов и резервуаров чистой воды.</w:t>
      </w:r>
      <w:proofErr w:type="gramEnd"/>
    </w:p>
    <w:p w:rsidR="00F431F6" w:rsidRPr="00EC20F8" w:rsidRDefault="00F431F6" w:rsidP="00F431F6">
      <w:pPr>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В</w:t>
      </w:r>
      <w:r w:rsidRPr="00EC20F8">
        <w:rPr>
          <w:rFonts w:ascii="Times New Roman" w:eastAsia="Calibri" w:hAnsi="Times New Roman" w:cs="Times New Roman"/>
          <w:sz w:val="28"/>
          <w:szCs w:val="28"/>
        </w:rPr>
        <w:t>недрени</w:t>
      </w:r>
      <w:r w:rsidRPr="00EC20F8">
        <w:rPr>
          <w:rFonts w:ascii="Times New Roman" w:hAnsi="Times New Roman" w:cs="Times New Roman"/>
          <w:sz w:val="28"/>
          <w:szCs w:val="28"/>
        </w:rPr>
        <w:t>е</w:t>
      </w:r>
      <w:r w:rsidRPr="00EC20F8">
        <w:rPr>
          <w:rFonts w:ascii="Times New Roman" w:eastAsia="Calibri" w:hAnsi="Times New Roman" w:cs="Times New Roman"/>
          <w:sz w:val="28"/>
          <w:szCs w:val="28"/>
        </w:rPr>
        <w:t xml:space="preserve"> в сектор водоснабжения, водоотведения и очистки сточных вод современных инновационных технологий, обеспечивающих энергосбережение и повышение </w:t>
      </w:r>
      <w:proofErr w:type="spellStart"/>
      <w:r w:rsidRPr="00EC20F8">
        <w:rPr>
          <w:rFonts w:ascii="Times New Roman" w:eastAsia="Calibri" w:hAnsi="Times New Roman" w:cs="Times New Roman"/>
          <w:sz w:val="28"/>
          <w:szCs w:val="28"/>
        </w:rPr>
        <w:t>энергоэффективности</w:t>
      </w:r>
      <w:proofErr w:type="spellEnd"/>
      <w:r w:rsidRPr="00EC20F8">
        <w:rPr>
          <w:rFonts w:ascii="Times New Roman" w:eastAsia="Calibri" w:hAnsi="Times New Roman" w:cs="Times New Roman"/>
          <w:sz w:val="28"/>
          <w:szCs w:val="28"/>
        </w:rPr>
        <w:t xml:space="preserve"> планируется реализовать  путем установки приборов учета на объектах водоснабжения</w:t>
      </w:r>
      <w:r w:rsidRPr="00EC20F8">
        <w:rPr>
          <w:rFonts w:ascii="Times New Roman" w:hAnsi="Times New Roman" w:cs="Times New Roman"/>
          <w:sz w:val="28"/>
          <w:szCs w:val="28"/>
        </w:rPr>
        <w:t xml:space="preserve">. </w:t>
      </w:r>
      <w:proofErr w:type="gramEnd"/>
    </w:p>
    <w:p w:rsidR="00F431F6" w:rsidRPr="00EC20F8" w:rsidRDefault="00F431F6" w:rsidP="00F431F6">
      <w:pPr>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Для решения задачи направленной на получение информации о состоянии недвижимого имущества  предприятий жилищно-коммунального хозяйства  планируется проведение технического учета и технической инвентаризации объектов водоснабжения и водоотведения.</w:t>
      </w:r>
      <w:proofErr w:type="gramEnd"/>
    </w:p>
    <w:p w:rsidR="00990E00" w:rsidRPr="00EC20F8" w:rsidRDefault="00990E00" w:rsidP="00905D0F">
      <w:pPr>
        <w:autoSpaceDE w:val="0"/>
        <w:autoSpaceDN w:val="0"/>
        <w:adjustRightInd w:val="0"/>
        <w:spacing w:line="240" w:lineRule="auto"/>
        <w:outlineLvl w:val="0"/>
        <w:rPr>
          <w:rFonts w:ascii="Times New Roman" w:hAnsi="Times New Roman" w:cs="Times New Roman"/>
          <w:sz w:val="28"/>
          <w:szCs w:val="28"/>
        </w:rPr>
      </w:pPr>
    </w:p>
    <w:p w:rsidR="00E55801" w:rsidRPr="00EC20F8" w:rsidRDefault="00E55801" w:rsidP="00E55801">
      <w:pPr>
        <w:autoSpaceDE w:val="0"/>
        <w:autoSpaceDN w:val="0"/>
        <w:adjustRightInd w:val="0"/>
        <w:spacing w:line="240" w:lineRule="auto"/>
        <w:jc w:val="center"/>
        <w:outlineLvl w:val="0"/>
        <w:rPr>
          <w:rFonts w:ascii="Times New Roman" w:hAnsi="Times New Roman" w:cs="Times New Roman"/>
          <w:sz w:val="28"/>
          <w:szCs w:val="28"/>
        </w:rPr>
      </w:pPr>
      <w:bookmarkStart w:id="126" w:name="_Toc400529687"/>
      <w:r w:rsidRPr="00EC20F8">
        <w:rPr>
          <w:rFonts w:ascii="Times New Roman" w:hAnsi="Times New Roman" w:cs="Times New Roman"/>
          <w:sz w:val="28"/>
          <w:szCs w:val="28"/>
        </w:rPr>
        <w:t>19.1. Энергосбережение и энергоэффективность</w:t>
      </w:r>
      <w:bookmarkEnd w:id="123"/>
      <w:bookmarkEnd w:id="124"/>
      <w:bookmarkEnd w:id="125"/>
      <w:bookmarkEnd w:id="126"/>
    </w:p>
    <w:p w:rsidR="00E55801" w:rsidRPr="00EC20F8" w:rsidRDefault="00E55801" w:rsidP="00E55801">
      <w:pPr>
        <w:spacing w:line="240" w:lineRule="auto"/>
        <w:ind w:firstLine="709"/>
        <w:jc w:val="both"/>
        <w:rPr>
          <w:rFonts w:ascii="Times New Roman" w:hAnsi="Times New Roman" w:cs="Times New Roman"/>
        </w:rPr>
      </w:pPr>
    </w:p>
    <w:p w:rsidR="00E55801" w:rsidRPr="00EC20F8" w:rsidRDefault="00E55801" w:rsidP="00E55801">
      <w:pPr>
        <w:spacing w:line="240" w:lineRule="auto"/>
        <w:ind w:firstLine="709"/>
        <w:jc w:val="both"/>
        <w:rPr>
          <w:rFonts w:ascii="Times New Roman" w:hAnsi="Times New Roman" w:cs="Times New Roman"/>
          <w:spacing w:val="-2"/>
          <w:sz w:val="28"/>
          <w:szCs w:val="28"/>
        </w:rPr>
      </w:pPr>
      <w:r w:rsidRPr="00EC20F8">
        <w:rPr>
          <w:rFonts w:ascii="Times New Roman" w:hAnsi="Times New Roman" w:cs="Times New Roman"/>
          <w:sz w:val="28"/>
          <w:szCs w:val="28"/>
        </w:rPr>
        <w:t xml:space="preserve">Одним из направлений деятельности администрации городского округа является проведение политики энергосбережения и энергоэффективности во </w:t>
      </w:r>
      <w:r w:rsidRPr="00EC20F8">
        <w:rPr>
          <w:rFonts w:ascii="Times New Roman" w:hAnsi="Times New Roman" w:cs="Times New Roman"/>
          <w:spacing w:val="-2"/>
          <w:sz w:val="28"/>
          <w:szCs w:val="28"/>
        </w:rPr>
        <w:t>исполнение требований Федерального закона от 23.11.2009 № 261-ФЗ               «Об энерго</w:t>
      </w:r>
      <w:r w:rsidRPr="00EC20F8">
        <w:rPr>
          <w:rFonts w:ascii="Times New Roman" w:hAnsi="Times New Roman" w:cs="Times New Roman"/>
          <w:sz w:val="28"/>
          <w:szCs w:val="28"/>
        </w:rPr>
        <w:t>сбережении и повышении энергетической эффективности и о внесении изменений в отдельные законодательные акты Российской Федерации» (далее –</w:t>
      </w:r>
      <w:r w:rsidRPr="00EC20F8">
        <w:rPr>
          <w:rFonts w:ascii="Times New Roman" w:hAnsi="Times New Roman" w:cs="Times New Roman"/>
          <w:spacing w:val="-2"/>
          <w:sz w:val="28"/>
          <w:szCs w:val="28"/>
        </w:rPr>
        <w:t xml:space="preserve"> Федеральный закон от 23.11.2009 № 261-ФЗ)</w:t>
      </w:r>
      <w:r w:rsidRPr="00EC20F8">
        <w:rPr>
          <w:rFonts w:ascii="Times New Roman" w:hAnsi="Times New Roman" w:cs="Times New Roman"/>
          <w:sz w:val="28"/>
          <w:szCs w:val="28"/>
        </w:rPr>
        <w:t>. Для реализации этих требований администрацией городского округа были разработаны две долгосрочные  муниципальные целевые программы:</w:t>
      </w:r>
    </w:p>
    <w:p w:rsidR="00E55801" w:rsidRPr="00EC20F8" w:rsidRDefault="00E55801" w:rsidP="00E55801">
      <w:pPr>
        <w:tabs>
          <w:tab w:val="left" w:pos="1134"/>
        </w:tabs>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w:t>
      </w:r>
      <w:r w:rsidRPr="00EC20F8">
        <w:rPr>
          <w:rFonts w:ascii="Times New Roman" w:hAnsi="Times New Roman" w:cs="Times New Roman"/>
          <w:sz w:val="28"/>
          <w:szCs w:val="28"/>
        </w:rPr>
        <w:tab/>
        <w:t xml:space="preserve">«Энергосбережение и повышение энергетической эффективности в </w:t>
      </w:r>
      <w:proofErr w:type="gramStart"/>
      <w:r w:rsidRPr="00EC20F8">
        <w:rPr>
          <w:rFonts w:ascii="Times New Roman" w:hAnsi="Times New Roman" w:cs="Times New Roman"/>
          <w:sz w:val="28"/>
          <w:szCs w:val="28"/>
        </w:rPr>
        <w:t>Петропавловск-Камчатском</w:t>
      </w:r>
      <w:proofErr w:type="gramEnd"/>
      <w:r w:rsidRPr="00EC20F8">
        <w:rPr>
          <w:rFonts w:ascii="Times New Roman" w:hAnsi="Times New Roman" w:cs="Times New Roman"/>
          <w:sz w:val="28"/>
          <w:szCs w:val="28"/>
        </w:rPr>
        <w:t xml:space="preserve"> городском округе на 2010-2020 годы»; </w:t>
      </w:r>
    </w:p>
    <w:p w:rsidR="00E55801" w:rsidRPr="00EC20F8" w:rsidRDefault="00E55801" w:rsidP="00E55801">
      <w:pPr>
        <w:tabs>
          <w:tab w:val="left" w:pos="1134"/>
        </w:tabs>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w:t>
      </w:r>
      <w:r w:rsidRPr="00EC20F8">
        <w:rPr>
          <w:rFonts w:ascii="Times New Roman" w:hAnsi="Times New Roman" w:cs="Times New Roman"/>
          <w:sz w:val="28"/>
          <w:szCs w:val="28"/>
        </w:rPr>
        <w:tab/>
        <w:t>«Установка коллективных (</w:t>
      </w:r>
      <w:proofErr w:type="spellStart"/>
      <w:r w:rsidRPr="00EC20F8">
        <w:rPr>
          <w:rFonts w:ascii="Times New Roman" w:hAnsi="Times New Roman" w:cs="Times New Roman"/>
          <w:sz w:val="28"/>
          <w:szCs w:val="28"/>
        </w:rPr>
        <w:t>общедомовых</w:t>
      </w:r>
      <w:proofErr w:type="spellEnd"/>
      <w:r w:rsidRPr="00EC20F8">
        <w:rPr>
          <w:rFonts w:ascii="Times New Roman" w:hAnsi="Times New Roman" w:cs="Times New Roman"/>
          <w:sz w:val="28"/>
          <w:szCs w:val="28"/>
        </w:rPr>
        <w:t xml:space="preserve">) приборов учета на отпуск коммунальных ресурсов в многоквартирных жилых домах </w:t>
      </w:r>
      <w:proofErr w:type="gramStart"/>
      <w:r w:rsidRPr="00EC20F8">
        <w:rPr>
          <w:rFonts w:ascii="Times New Roman" w:hAnsi="Times New Roman" w:cs="Times New Roman"/>
          <w:sz w:val="28"/>
          <w:szCs w:val="28"/>
        </w:rPr>
        <w:t>Петропавловск-Камчатского</w:t>
      </w:r>
      <w:proofErr w:type="gramEnd"/>
      <w:r w:rsidRPr="00EC20F8">
        <w:rPr>
          <w:rFonts w:ascii="Times New Roman" w:hAnsi="Times New Roman" w:cs="Times New Roman"/>
          <w:sz w:val="28"/>
          <w:szCs w:val="28"/>
        </w:rPr>
        <w:t xml:space="preserve"> городского округа на 2009-2012 годы».</w:t>
      </w:r>
    </w:p>
    <w:p w:rsidR="00E55801" w:rsidRPr="00EC20F8" w:rsidRDefault="00E55801" w:rsidP="00E55801">
      <w:pPr>
        <w:tabs>
          <w:tab w:val="left" w:pos="1134"/>
        </w:tabs>
        <w:spacing w:line="240" w:lineRule="auto"/>
        <w:ind w:firstLine="709"/>
        <w:jc w:val="both"/>
        <w:rPr>
          <w:rFonts w:ascii="Times New Roman" w:eastAsia="Calibri" w:hAnsi="Times New Roman" w:cs="Times New Roman"/>
          <w:sz w:val="28"/>
          <w:szCs w:val="28"/>
        </w:rPr>
      </w:pPr>
      <w:proofErr w:type="gramStart"/>
      <w:r w:rsidRPr="00EC20F8">
        <w:rPr>
          <w:rFonts w:ascii="Times New Roman" w:hAnsi="Times New Roman" w:cs="Times New Roman"/>
          <w:sz w:val="28"/>
          <w:szCs w:val="28"/>
        </w:rPr>
        <w:t>Выше указанные</w:t>
      </w:r>
      <w:proofErr w:type="gramEnd"/>
      <w:r w:rsidRPr="00EC20F8">
        <w:rPr>
          <w:rFonts w:ascii="Times New Roman" w:hAnsi="Times New Roman" w:cs="Times New Roman"/>
          <w:sz w:val="28"/>
          <w:szCs w:val="28"/>
        </w:rPr>
        <w:t xml:space="preserve"> программы действовали вплоть до 31 декабря 2013 года. Постановлением администрации </w:t>
      </w:r>
      <w:proofErr w:type="gramStart"/>
      <w:r w:rsidRPr="00EC20F8">
        <w:rPr>
          <w:rFonts w:ascii="Times New Roman" w:hAnsi="Times New Roman" w:cs="Times New Roman"/>
          <w:sz w:val="28"/>
          <w:szCs w:val="28"/>
        </w:rPr>
        <w:t>Петропавловск-Камчатского</w:t>
      </w:r>
      <w:proofErr w:type="gramEnd"/>
      <w:r w:rsidRPr="00EC20F8">
        <w:rPr>
          <w:rFonts w:ascii="Times New Roman" w:hAnsi="Times New Roman" w:cs="Times New Roman"/>
          <w:sz w:val="28"/>
          <w:szCs w:val="28"/>
        </w:rPr>
        <w:t xml:space="preserve"> городского округа  от 31.10.2013 № 3183 была утверждена муниципальная программа «Энергоэффективность, развитие энергетики и коммунального хозяйства, обеспечение жителей Петропавловск-Камчатского городского округа коммунальными услугами, услугами по благоустройству территории и охрана окружающей среды», включающая в себя подпрограмму </w:t>
      </w:r>
      <w:r w:rsidRPr="00EC20F8">
        <w:rPr>
          <w:rFonts w:ascii="Times New Roman" w:eastAsia="Calibri" w:hAnsi="Times New Roman" w:cs="Times New Roman"/>
          <w:sz w:val="28"/>
          <w:szCs w:val="28"/>
        </w:rPr>
        <w:t>«Энергосбережение и повышение энергетической эффективности».</w:t>
      </w:r>
    </w:p>
    <w:p w:rsidR="00E55801" w:rsidRPr="00EC20F8" w:rsidRDefault="00E55801" w:rsidP="00E55801">
      <w:pPr>
        <w:spacing w:line="240" w:lineRule="auto"/>
        <w:ind w:firstLine="851"/>
        <w:contextualSpacing/>
        <w:jc w:val="both"/>
        <w:rPr>
          <w:rFonts w:ascii="Times New Roman" w:hAnsi="Times New Roman" w:cs="Times New Roman"/>
          <w:bCs/>
          <w:sz w:val="28"/>
          <w:szCs w:val="28"/>
        </w:rPr>
      </w:pPr>
      <w:r w:rsidRPr="00EC20F8">
        <w:rPr>
          <w:rFonts w:ascii="Times New Roman" w:eastAsia="Times New Roman" w:hAnsi="Times New Roman" w:cs="Times New Roman"/>
          <w:sz w:val="28"/>
          <w:szCs w:val="28"/>
          <w:lang w:eastAsia="ru-RU"/>
        </w:rPr>
        <w:t xml:space="preserve">Мероприятия </w:t>
      </w:r>
      <w:r w:rsidRPr="00EC20F8">
        <w:rPr>
          <w:rFonts w:ascii="Times New Roman" w:hAnsi="Times New Roman" w:cs="Times New Roman"/>
          <w:bCs/>
          <w:sz w:val="28"/>
          <w:szCs w:val="28"/>
        </w:rPr>
        <w:t xml:space="preserve">по энергосбережению и повышению энергетической эффективности условно можно разделить на два блока – мероприятия, проводимые в </w:t>
      </w:r>
      <w:r w:rsidRPr="00EC20F8">
        <w:rPr>
          <w:rFonts w:ascii="Times New Roman" w:hAnsi="Times New Roman" w:cs="Times New Roman"/>
          <w:sz w:val="28"/>
          <w:szCs w:val="28"/>
        </w:rPr>
        <w:t>муниципальных учреждениях, оплата потребления коммунальных услуг которыми происходит за счёт средств бюджета городского округа</w:t>
      </w:r>
      <w:r w:rsidR="00202BBE" w:rsidRPr="00EC20F8">
        <w:rPr>
          <w:rFonts w:ascii="Times New Roman" w:hAnsi="Times New Roman" w:cs="Times New Roman"/>
          <w:sz w:val="28"/>
          <w:szCs w:val="28"/>
        </w:rPr>
        <w:t>,</w:t>
      </w:r>
      <w:r w:rsidRPr="00EC20F8">
        <w:rPr>
          <w:rFonts w:ascii="Times New Roman" w:hAnsi="Times New Roman" w:cs="Times New Roman"/>
          <w:sz w:val="28"/>
          <w:szCs w:val="28"/>
        </w:rPr>
        <w:t xml:space="preserve"> и мероприятия</w:t>
      </w:r>
      <w:r w:rsidRPr="00EC20F8">
        <w:rPr>
          <w:rFonts w:ascii="Times New Roman" w:hAnsi="Times New Roman" w:cs="Times New Roman"/>
          <w:b/>
          <w:sz w:val="28"/>
          <w:szCs w:val="28"/>
        </w:rPr>
        <w:t xml:space="preserve"> </w:t>
      </w:r>
      <w:r w:rsidRPr="00EC20F8">
        <w:rPr>
          <w:rFonts w:ascii="Times New Roman" w:eastAsia="Calibri" w:hAnsi="Times New Roman" w:cs="Times New Roman"/>
          <w:bCs/>
          <w:sz w:val="28"/>
          <w:szCs w:val="28"/>
        </w:rPr>
        <w:t>по энергосбережению и повышению энергетической эффективности в муниципальном жилищном фонде</w:t>
      </w:r>
      <w:r w:rsidRPr="00EC20F8">
        <w:rPr>
          <w:rFonts w:ascii="Times New Roman" w:hAnsi="Times New Roman" w:cs="Times New Roman"/>
          <w:bCs/>
          <w:sz w:val="28"/>
          <w:szCs w:val="28"/>
        </w:rPr>
        <w:t>.</w:t>
      </w:r>
    </w:p>
    <w:p w:rsidR="00E55801" w:rsidRPr="00EC20F8" w:rsidRDefault="00E55801" w:rsidP="00E55801">
      <w:pPr>
        <w:spacing w:before="100" w:beforeAutospacing="1" w:after="100" w:afterAutospacing="1" w:line="240" w:lineRule="auto"/>
        <w:ind w:firstLine="851"/>
        <w:contextualSpacing/>
        <w:jc w:val="both"/>
        <w:rPr>
          <w:rFonts w:ascii="Times New Roman" w:hAnsi="Times New Roman" w:cs="Times New Roman"/>
          <w:sz w:val="28"/>
          <w:szCs w:val="28"/>
        </w:rPr>
      </w:pPr>
      <w:r w:rsidRPr="00EC20F8">
        <w:rPr>
          <w:rFonts w:ascii="Times New Roman" w:hAnsi="Times New Roman" w:cs="Times New Roman"/>
          <w:bCs/>
          <w:sz w:val="28"/>
          <w:szCs w:val="28"/>
        </w:rPr>
        <w:t>За период 2011-2012 годы во всех  попадающих под действие</w:t>
      </w:r>
      <w:r w:rsidRPr="00EC20F8">
        <w:rPr>
          <w:rFonts w:ascii="Times New Roman" w:hAnsi="Times New Roman" w:cs="Times New Roman"/>
          <w:b/>
          <w:bCs/>
          <w:sz w:val="28"/>
          <w:szCs w:val="28"/>
        </w:rPr>
        <w:t xml:space="preserve"> </w:t>
      </w:r>
      <w:r w:rsidRPr="00EC20F8">
        <w:rPr>
          <w:rFonts w:ascii="Times New Roman" w:eastAsia="Times New Roman" w:hAnsi="Times New Roman" w:cs="Times New Roman"/>
          <w:sz w:val="28"/>
          <w:szCs w:val="28"/>
          <w:lang w:eastAsia="ru-RU"/>
        </w:rPr>
        <w:t xml:space="preserve">Федерального закона от 23.09.2009 № 261-ФЗ муниципальных </w:t>
      </w:r>
      <w:r w:rsidRPr="00EC20F8">
        <w:rPr>
          <w:rFonts w:ascii="Times New Roman" w:hAnsi="Times New Roman" w:cs="Times New Roman"/>
          <w:sz w:val="28"/>
          <w:szCs w:val="28"/>
        </w:rPr>
        <w:t>бюджетных, казенных, автономных учреждениях и учреждениях с участием муниципального образования проведены обязательные энергетические обследования. По результатам обследований учреждения получили энергетические паспорта, которые легли в основу их программ по энергосбережению и повышению энергетической эффективности на период времени до проведения очередного энергетического обследования.</w:t>
      </w:r>
    </w:p>
    <w:p w:rsidR="00E55801" w:rsidRPr="00EC20F8" w:rsidRDefault="00E55801" w:rsidP="00E55801">
      <w:pPr>
        <w:spacing w:before="100" w:beforeAutospacing="1" w:after="100" w:afterAutospacing="1" w:line="240" w:lineRule="auto"/>
        <w:ind w:firstLine="851"/>
        <w:contextualSpacing/>
        <w:jc w:val="both"/>
        <w:rPr>
          <w:rFonts w:ascii="Times New Roman" w:eastAsia="Times New Roman" w:hAnsi="Times New Roman" w:cs="Times New Roman"/>
          <w:bCs/>
          <w:sz w:val="28"/>
          <w:szCs w:val="28"/>
          <w:lang w:eastAsia="ru-RU"/>
        </w:rPr>
      </w:pPr>
      <w:r w:rsidRPr="00EC20F8">
        <w:rPr>
          <w:rFonts w:ascii="Times New Roman" w:eastAsia="Times New Roman" w:hAnsi="Times New Roman" w:cs="Times New Roman"/>
          <w:bCs/>
          <w:sz w:val="28"/>
          <w:szCs w:val="28"/>
          <w:lang w:eastAsia="ru-RU"/>
        </w:rPr>
        <w:t xml:space="preserve">В 2011 году </w:t>
      </w:r>
      <w:r w:rsidRPr="00EC20F8">
        <w:rPr>
          <w:rFonts w:ascii="Times New Roman" w:hAnsi="Times New Roman" w:cs="Times New Roman"/>
          <w:sz w:val="28"/>
          <w:szCs w:val="28"/>
        </w:rPr>
        <w:t xml:space="preserve">муниципальными учреждениями, оплата потребления коммунальных услуг которыми происходит за счет средств бюджета </w:t>
      </w:r>
      <w:proofErr w:type="gramStart"/>
      <w:r w:rsidRPr="00EC20F8">
        <w:rPr>
          <w:rFonts w:ascii="Times New Roman" w:eastAsia="Times New Roman" w:hAnsi="Times New Roman" w:cs="Times New Roman"/>
          <w:bCs/>
          <w:sz w:val="28"/>
          <w:szCs w:val="28"/>
          <w:lang w:eastAsia="ru-RU"/>
        </w:rPr>
        <w:t>Петропавловск-Камчатского</w:t>
      </w:r>
      <w:proofErr w:type="gramEnd"/>
      <w:r w:rsidRPr="00EC20F8">
        <w:rPr>
          <w:rFonts w:ascii="Times New Roman" w:eastAsia="Times New Roman" w:hAnsi="Times New Roman" w:cs="Times New Roman"/>
          <w:bCs/>
          <w:sz w:val="28"/>
          <w:szCs w:val="28"/>
          <w:lang w:eastAsia="ru-RU"/>
        </w:rPr>
        <w:t xml:space="preserve"> </w:t>
      </w:r>
      <w:r w:rsidRPr="00EC20F8">
        <w:rPr>
          <w:rFonts w:ascii="Times New Roman" w:hAnsi="Times New Roman" w:cs="Times New Roman"/>
          <w:sz w:val="28"/>
          <w:szCs w:val="28"/>
        </w:rPr>
        <w:t>городского округа,</w:t>
      </w:r>
      <w:r w:rsidRPr="00EC20F8">
        <w:rPr>
          <w:rFonts w:ascii="Times New Roman" w:eastAsia="Times New Roman" w:hAnsi="Times New Roman" w:cs="Times New Roman"/>
          <w:bCs/>
          <w:sz w:val="28"/>
          <w:szCs w:val="28"/>
          <w:lang w:eastAsia="ru-RU"/>
        </w:rPr>
        <w:t xml:space="preserve"> завершен окончательный переход на расчеты за потребляемые коммунальные услуги </w:t>
      </w:r>
      <w:r w:rsidRPr="00EC20F8">
        <w:rPr>
          <w:rFonts w:ascii="Times New Roman" w:hAnsi="Times New Roman" w:cs="Times New Roman"/>
          <w:sz w:val="28"/>
          <w:szCs w:val="28"/>
        </w:rPr>
        <w:t>с использованием приборов учета.</w:t>
      </w:r>
    </w:p>
    <w:p w:rsidR="00E55801" w:rsidRPr="00EC20F8" w:rsidRDefault="00E55801" w:rsidP="00E55801">
      <w:pPr>
        <w:spacing w:line="240" w:lineRule="auto"/>
        <w:ind w:firstLine="851"/>
        <w:contextualSpacing/>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В результате перехода муниципальных учреждений на расчет за потребление коммунальных услуг по приборам учета и выполнение мероприятий по энергосбережению и повышению энергоэффективности, как в рамках реализации программ по энергосбережению и повышению энергоэффективности, так и в ходе проведения ремонтных работ и капитальных ремонтов учреждений,  достигнуто снижение удельных величин потребления коммунальных ресурсов за период 2009 - 2013 годы </w:t>
      </w:r>
      <w:r w:rsidR="00C606D1" w:rsidRPr="00EC20F8">
        <w:rPr>
          <w:rFonts w:ascii="Times New Roman" w:hAnsi="Times New Roman" w:cs="Times New Roman"/>
          <w:sz w:val="28"/>
          <w:szCs w:val="28"/>
        </w:rPr>
        <w:t xml:space="preserve">                           </w:t>
      </w:r>
      <w:r w:rsidRPr="00EC20F8">
        <w:rPr>
          <w:rFonts w:ascii="Times New Roman" w:hAnsi="Times New Roman" w:cs="Times New Roman"/>
          <w:sz w:val="28"/>
          <w:szCs w:val="28"/>
        </w:rPr>
        <w:t xml:space="preserve">(табл. </w:t>
      </w:r>
      <w:r w:rsidR="00C606D1" w:rsidRPr="00EC20F8">
        <w:rPr>
          <w:rFonts w:ascii="Times New Roman" w:hAnsi="Times New Roman" w:cs="Times New Roman"/>
          <w:sz w:val="28"/>
          <w:szCs w:val="28"/>
        </w:rPr>
        <w:t>19.1.</w:t>
      </w:r>
      <w:r w:rsidRPr="00EC20F8">
        <w:rPr>
          <w:rFonts w:ascii="Times New Roman" w:hAnsi="Times New Roman" w:cs="Times New Roman"/>
          <w:sz w:val="28"/>
          <w:szCs w:val="28"/>
        </w:rPr>
        <w:t>1).</w:t>
      </w:r>
      <w:proofErr w:type="gramEnd"/>
    </w:p>
    <w:p w:rsidR="00E55801" w:rsidRPr="00EC20F8" w:rsidRDefault="00E55801" w:rsidP="00E55801">
      <w:pPr>
        <w:spacing w:line="240" w:lineRule="auto"/>
        <w:contextualSpacing/>
        <w:jc w:val="center"/>
        <w:rPr>
          <w:rFonts w:ascii="Times New Roman" w:hAnsi="Times New Roman" w:cs="Times New Roman"/>
          <w:sz w:val="24"/>
          <w:szCs w:val="24"/>
        </w:rPr>
      </w:pPr>
      <w:r w:rsidRPr="00EC20F8">
        <w:rPr>
          <w:rFonts w:ascii="Times New Roman" w:hAnsi="Times New Roman" w:cs="Times New Roman"/>
          <w:sz w:val="24"/>
          <w:szCs w:val="24"/>
        </w:rPr>
        <w:t>Удельные показатели потребления коммунальных ресурсов муниципальными учреждениями (по отдельно стоящим зданиям) за период 2009-2013 годы</w:t>
      </w:r>
    </w:p>
    <w:p w:rsidR="00E55801" w:rsidRPr="00EC20F8" w:rsidRDefault="00E55801" w:rsidP="00E55801">
      <w:pPr>
        <w:spacing w:line="240" w:lineRule="auto"/>
        <w:ind w:firstLine="851"/>
        <w:contextualSpacing/>
        <w:jc w:val="center"/>
        <w:rPr>
          <w:rFonts w:ascii="Times New Roman" w:hAnsi="Times New Roman" w:cs="Times New Roman"/>
          <w:sz w:val="12"/>
          <w:szCs w:val="12"/>
        </w:rPr>
      </w:pPr>
    </w:p>
    <w:p w:rsidR="00E55801" w:rsidRPr="00EC20F8" w:rsidRDefault="00E55801" w:rsidP="00E55801">
      <w:pPr>
        <w:spacing w:line="240" w:lineRule="auto"/>
        <w:ind w:firstLine="851"/>
        <w:contextualSpacing/>
        <w:jc w:val="right"/>
        <w:rPr>
          <w:rFonts w:ascii="Times New Roman" w:hAnsi="Times New Roman" w:cs="Times New Roman"/>
          <w:i/>
          <w:sz w:val="24"/>
          <w:szCs w:val="24"/>
        </w:rPr>
      </w:pPr>
      <w:r w:rsidRPr="00EC20F8">
        <w:rPr>
          <w:rFonts w:ascii="Times New Roman" w:hAnsi="Times New Roman" w:cs="Times New Roman"/>
          <w:i/>
          <w:sz w:val="24"/>
          <w:szCs w:val="24"/>
        </w:rPr>
        <w:t xml:space="preserve">Таблица </w:t>
      </w:r>
      <w:r w:rsidR="00C606D1" w:rsidRPr="00EC20F8">
        <w:rPr>
          <w:rFonts w:ascii="Times New Roman" w:hAnsi="Times New Roman" w:cs="Times New Roman"/>
          <w:i/>
          <w:sz w:val="24"/>
          <w:szCs w:val="24"/>
        </w:rPr>
        <w:t>19.1.</w:t>
      </w:r>
      <w:r w:rsidRPr="00EC20F8">
        <w:rPr>
          <w:rFonts w:ascii="Times New Roman" w:hAnsi="Times New Roman" w:cs="Times New Roman"/>
          <w:i/>
          <w:sz w:val="24"/>
          <w:szCs w:val="24"/>
        </w:rPr>
        <w:t>1.</w:t>
      </w:r>
    </w:p>
    <w:tbl>
      <w:tblPr>
        <w:tblW w:w="9634"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30"/>
        <w:gridCol w:w="1480"/>
        <w:gridCol w:w="1165"/>
        <w:gridCol w:w="1186"/>
        <w:gridCol w:w="1125"/>
        <w:gridCol w:w="1166"/>
        <w:gridCol w:w="1182"/>
      </w:tblGrid>
      <w:tr w:rsidR="00E55801" w:rsidRPr="00EC20F8" w:rsidTr="006C1F50">
        <w:trPr>
          <w:trHeight w:val="300"/>
          <w:jc w:val="center"/>
        </w:trPr>
        <w:tc>
          <w:tcPr>
            <w:tcW w:w="2330" w:type="dxa"/>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Наименование ресурса</w:t>
            </w:r>
          </w:p>
        </w:tc>
        <w:tc>
          <w:tcPr>
            <w:tcW w:w="1480" w:type="dxa"/>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 xml:space="preserve">Ед. </w:t>
            </w:r>
            <w:proofErr w:type="spellStart"/>
            <w:r w:rsidRPr="00EC20F8">
              <w:rPr>
                <w:rFonts w:ascii="Times New Roman" w:eastAsia="Times New Roman" w:hAnsi="Times New Roman" w:cs="Times New Roman"/>
                <w:sz w:val="24"/>
                <w:szCs w:val="24"/>
                <w:lang w:eastAsia="ru-RU"/>
              </w:rPr>
              <w:t>изм</w:t>
            </w:r>
            <w:proofErr w:type="spellEnd"/>
            <w:r w:rsidRPr="00EC20F8">
              <w:rPr>
                <w:rFonts w:ascii="Times New Roman" w:eastAsia="Times New Roman" w:hAnsi="Times New Roman" w:cs="Times New Roman"/>
                <w:sz w:val="24"/>
                <w:szCs w:val="24"/>
                <w:lang w:eastAsia="ru-RU"/>
              </w:rPr>
              <w:t>.</w:t>
            </w:r>
          </w:p>
        </w:tc>
        <w:tc>
          <w:tcPr>
            <w:tcW w:w="1165" w:type="dxa"/>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2009 год</w:t>
            </w:r>
          </w:p>
        </w:tc>
        <w:tc>
          <w:tcPr>
            <w:tcW w:w="1186" w:type="dxa"/>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2010 год</w:t>
            </w:r>
          </w:p>
        </w:tc>
        <w:tc>
          <w:tcPr>
            <w:tcW w:w="1125" w:type="dxa"/>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2011 год</w:t>
            </w:r>
          </w:p>
        </w:tc>
        <w:tc>
          <w:tcPr>
            <w:tcW w:w="1166" w:type="dxa"/>
            <w:vAlign w:val="center"/>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2012 год</w:t>
            </w:r>
          </w:p>
        </w:tc>
        <w:tc>
          <w:tcPr>
            <w:tcW w:w="1182" w:type="dxa"/>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2013 год</w:t>
            </w:r>
          </w:p>
        </w:tc>
      </w:tr>
      <w:tr w:rsidR="00E55801" w:rsidRPr="00EC20F8" w:rsidTr="006C1F50">
        <w:trPr>
          <w:trHeight w:val="300"/>
          <w:jc w:val="center"/>
        </w:trPr>
        <w:tc>
          <w:tcPr>
            <w:tcW w:w="2330" w:type="dxa"/>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Тепловая энергия</w:t>
            </w:r>
          </w:p>
        </w:tc>
        <w:tc>
          <w:tcPr>
            <w:tcW w:w="1480" w:type="dxa"/>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Гкал/</w:t>
            </w:r>
            <w:proofErr w:type="gramStart"/>
            <w:r w:rsidRPr="00EC20F8">
              <w:rPr>
                <w:rFonts w:ascii="Times New Roman" w:eastAsia="Times New Roman" w:hAnsi="Times New Roman" w:cs="Times New Roman"/>
                <w:sz w:val="24"/>
                <w:szCs w:val="24"/>
                <w:lang w:eastAsia="ru-RU"/>
              </w:rPr>
              <w:t>м</w:t>
            </w:r>
            <w:proofErr w:type="gramEnd"/>
            <w:r w:rsidRPr="00EC20F8">
              <w:rPr>
                <w:rFonts w:ascii="Times New Roman" w:eastAsia="Times New Roman" w:hAnsi="Times New Roman" w:cs="Times New Roman"/>
                <w:sz w:val="24"/>
                <w:szCs w:val="24"/>
                <w:lang w:eastAsia="ru-RU"/>
              </w:rPr>
              <w:t xml:space="preserve"> кв.</w:t>
            </w:r>
          </w:p>
        </w:tc>
        <w:tc>
          <w:tcPr>
            <w:tcW w:w="1165" w:type="dxa"/>
            <w:shd w:val="clear" w:color="auto" w:fill="auto"/>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0,188</w:t>
            </w:r>
          </w:p>
        </w:tc>
        <w:tc>
          <w:tcPr>
            <w:tcW w:w="1186" w:type="dxa"/>
            <w:shd w:val="clear" w:color="auto" w:fill="auto"/>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0,181</w:t>
            </w:r>
          </w:p>
        </w:tc>
        <w:tc>
          <w:tcPr>
            <w:tcW w:w="1125" w:type="dxa"/>
            <w:shd w:val="clear" w:color="auto" w:fill="auto"/>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0,152</w:t>
            </w:r>
          </w:p>
        </w:tc>
        <w:tc>
          <w:tcPr>
            <w:tcW w:w="1166" w:type="dxa"/>
            <w:vAlign w:val="center"/>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0,165*</w:t>
            </w:r>
          </w:p>
        </w:tc>
        <w:tc>
          <w:tcPr>
            <w:tcW w:w="1182" w:type="dxa"/>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vertAlign w:val="superscript"/>
                <w:lang w:eastAsia="ru-RU"/>
              </w:rPr>
            </w:pPr>
            <w:r w:rsidRPr="00EC20F8">
              <w:rPr>
                <w:rFonts w:ascii="Times New Roman" w:eastAsia="Times New Roman" w:hAnsi="Times New Roman" w:cs="Times New Roman"/>
                <w:sz w:val="24"/>
                <w:szCs w:val="24"/>
                <w:lang w:eastAsia="ru-RU"/>
              </w:rPr>
              <w:t>0,159</w:t>
            </w:r>
            <w:r w:rsidRPr="00EC20F8">
              <w:rPr>
                <w:rFonts w:ascii="Times New Roman" w:eastAsia="Times New Roman" w:hAnsi="Times New Roman" w:cs="Times New Roman"/>
                <w:sz w:val="24"/>
                <w:szCs w:val="24"/>
                <w:vertAlign w:val="superscript"/>
                <w:lang w:eastAsia="ru-RU"/>
              </w:rPr>
              <w:t>**</w:t>
            </w:r>
          </w:p>
        </w:tc>
      </w:tr>
      <w:tr w:rsidR="00E55801" w:rsidRPr="00EC20F8" w:rsidTr="006C1F50">
        <w:trPr>
          <w:trHeight w:val="300"/>
          <w:jc w:val="center"/>
        </w:trPr>
        <w:tc>
          <w:tcPr>
            <w:tcW w:w="2330" w:type="dxa"/>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Электроэнергия</w:t>
            </w:r>
          </w:p>
        </w:tc>
        <w:tc>
          <w:tcPr>
            <w:tcW w:w="1480" w:type="dxa"/>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кВт*час/чел</w:t>
            </w:r>
          </w:p>
        </w:tc>
        <w:tc>
          <w:tcPr>
            <w:tcW w:w="1165" w:type="dxa"/>
            <w:shd w:val="clear" w:color="auto" w:fill="auto"/>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260</w:t>
            </w:r>
          </w:p>
        </w:tc>
        <w:tc>
          <w:tcPr>
            <w:tcW w:w="1186" w:type="dxa"/>
            <w:shd w:val="clear" w:color="auto" w:fill="auto"/>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253,06</w:t>
            </w:r>
          </w:p>
        </w:tc>
        <w:tc>
          <w:tcPr>
            <w:tcW w:w="1125" w:type="dxa"/>
            <w:shd w:val="clear" w:color="auto" w:fill="auto"/>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245,44</w:t>
            </w:r>
          </w:p>
        </w:tc>
        <w:tc>
          <w:tcPr>
            <w:tcW w:w="1166" w:type="dxa"/>
            <w:vAlign w:val="center"/>
          </w:tcPr>
          <w:p w:rsidR="00E55801" w:rsidRPr="00EC20F8" w:rsidRDefault="00E55801" w:rsidP="00E55801">
            <w:pPr>
              <w:spacing w:line="240" w:lineRule="auto"/>
              <w:contextualSpacing/>
              <w:jc w:val="center"/>
              <w:rPr>
                <w:rFonts w:ascii="Times New Roman" w:eastAsia="Times New Roman" w:hAnsi="Times New Roman" w:cs="Times New Roman"/>
                <w:sz w:val="24"/>
                <w:szCs w:val="24"/>
                <w:vertAlign w:val="superscript"/>
                <w:lang w:eastAsia="ru-RU"/>
              </w:rPr>
            </w:pPr>
            <w:r w:rsidRPr="00EC20F8">
              <w:rPr>
                <w:rFonts w:ascii="Times New Roman" w:eastAsia="Times New Roman" w:hAnsi="Times New Roman" w:cs="Times New Roman"/>
                <w:sz w:val="24"/>
                <w:szCs w:val="24"/>
                <w:lang w:eastAsia="ru-RU"/>
              </w:rPr>
              <w:t>237.15</w:t>
            </w:r>
          </w:p>
        </w:tc>
        <w:tc>
          <w:tcPr>
            <w:tcW w:w="1182" w:type="dxa"/>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216,71</w:t>
            </w:r>
          </w:p>
        </w:tc>
      </w:tr>
      <w:tr w:rsidR="00E55801" w:rsidRPr="00EC20F8" w:rsidTr="006C1F50">
        <w:trPr>
          <w:trHeight w:val="300"/>
          <w:jc w:val="center"/>
        </w:trPr>
        <w:tc>
          <w:tcPr>
            <w:tcW w:w="2330" w:type="dxa"/>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Вода</w:t>
            </w:r>
          </w:p>
        </w:tc>
        <w:tc>
          <w:tcPr>
            <w:tcW w:w="1480" w:type="dxa"/>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proofErr w:type="gramStart"/>
            <w:r w:rsidRPr="00EC20F8">
              <w:rPr>
                <w:rFonts w:ascii="Times New Roman" w:eastAsia="Times New Roman" w:hAnsi="Times New Roman" w:cs="Times New Roman"/>
                <w:sz w:val="24"/>
                <w:szCs w:val="24"/>
                <w:lang w:eastAsia="ru-RU"/>
              </w:rPr>
              <w:t>м</w:t>
            </w:r>
            <w:proofErr w:type="gramEnd"/>
            <w:r w:rsidRPr="00EC20F8">
              <w:rPr>
                <w:rFonts w:ascii="Times New Roman" w:eastAsia="Times New Roman" w:hAnsi="Times New Roman" w:cs="Times New Roman"/>
                <w:sz w:val="24"/>
                <w:szCs w:val="24"/>
                <w:lang w:eastAsia="ru-RU"/>
              </w:rPr>
              <w:t xml:space="preserve"> куб/чел</w:t>
            </w:r>
          </w:p>
        </w:tc>
        <w:tc>
          <w:tcPr>
            <w:tcW w:w="1165" w:type="dxa"/>
            <w:shd w:val="clear" w:color="auto" w:fill="auto"/>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12,04</w:t>
            </w:r>
          </w:p>
        </w:tc>
        <w:tc>
          <w:tcPr>
            <w:tcW w:w="1186" w:type="dxa"/>
            <w:shd w:val="clear" w:color="auto" w:fill="auto"/>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10,4</w:t>
            </w:r>
          </w:p>
        </w:tc>
        <w:tc>
          <w:tcPr>
            <w:tcW w:w="1125" w:type="dxa"/>
            <w:shd w:val="clear" w:color="auto" w:fill="auto"/>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7,329</w:t>
            </w:r>
          </w:p>
        </w:tc>
        <w:tc>
          <w:tcPr>
            <w:tcW w:w="1166" w:type="dxa"/>
            <w:vAlign w:val="center"/>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6,78</w:t>
            </w:r>
          </w:p>
        </w:tc>
        <w:tc>
          <w:tcPr>
            <w:tcW w:w="1182" w:type="dxa"/>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vertAlign w:val="superscript"/>
                <w:lang w:eastAsia="ru-RU"/>
              </w:rPr>
            </w:pPr>
            <w:r w:rsidRPr="00EC20F8">
              <w:rPr>
                <w:rFonts w:ascii="Times New Roman" w:eastAsia="Times New Roman" w:hAnsi="Times New Roman" w:cs="Times New Roman"/>
                <w:sz w:val="24"/>
                <w:szCs w:val="24"/>
                <w:lang w:eastAsia="ru-RU"/>
              </w:rPr>
              <w:t>6,95</w:t>
            </w:r>
            <w:r w:rsidRPr="00EC20F8">
              <w:rPr>
                <w:rFonts w:ascii="Times New Roman" w:eastAsia="Times New Roman" w:hAnsi="Times New Roman" w:cs="Times New Roman"/>
                <w:sz w:val="24"/>
                <w:szCs w:val="24"/>
                <w:vertAlign w:val="superscript"/>
                <w:lang w:eastAsia="ru-RU"/>
              </w:rPr>
              <w:t>***</w:t>
            </w:r>
          </w:p>
        </w:tc>
      </w:tr>
    </w:tbl>
    <w:p w:rsidR="00E55801" w:rsidRPr="00EC20F8" w:rsidRDefault="00E55801" w:rsidP="00E55801">
      <w:pPr>
        <w:spacing w:before="100" w:beforeAutospacing="1" w:after="100" w:afterAutospacing="1" w:line="240" w:lineRule="auto"/>
        <w:ind w:firstLine="426"/>
        <w:contextualSpacing/>
        <w:jc w:val="both"/>
        <w:rPr>
          <w:rFonts w:ascii="Times New Roman" w:hAnsi="Times New Roman" w:cs="Times New Roman"/>
        </w:rPr>
      </w:pPr>
      <w:r w:rsidRPr="00EC20F8">
        <w:rPr>
          <w:rFonts w:ascii="Times New Roman" w:hAnsi="Times New Roman" w:cs="Times New Roman"/>
        </w:rPr>
        <w:t xml:space="preserve">* Рост потребления тепловой энергии в 2012 году объясняется неблагоприятными погодными условиями и как следствие – увеличением отпуска тепловой энергии </w:t>
      </w:r>
      <w:proofErr w:type="spellStart"/>
      <w:r w:rsidRPr="00EC20F8">
        <w:rPr>
          <w:rFonts w:ascii="Times New Roman" w:hAnsi="Times New Roman" w:cs="Times New Roman"/>
        </w:rPr>
        <w:t>ресурсоснабжающими</w:t>
      </w:r>
      <w:proofErr w:type="spellEnd"/>
      <w:r w:rsidRPr="00EC20F8">
        <w:rPr>
          <w:rFonts w:ascii="Times New Roman" w:hAnsi="Times New Roman" w:cs="Times New Roman"/>
        </w:rPr>
        <w:t xml:space="preserve"> организациями</w:t>
      </w:r>
    </w:p>
    <w:p w:rsidR="00E55801" w:rsidRPr="00EC20F8" w:rsidRDefault="00E55801" w:rsidP="00E55801">
      <w:pPr>
        <w:spacing w:before="100" w:beforeAutospacing="1" w:after="100" w:afterAutospacing="1" w:line="240" w:lineRule="auto"/>
        <w:ind w:firstLine="426"/>
        <w:contextualSpacing/>
        <w:jc w:val="both"/>
        <w:rPr>
          <w:rFonts w:ascii="Times New Roman" w:eastAsia="Times New Roman" w:hAnsi="Times New Roman" w:cs="Times New Roman"/>
          <w:lang w:eastAsia="ru-RU"/>
        </w:rPr>
      </w:pPr>
      <w:r w:rsidRPr="00EC20F8">
        <w:rPr>
          <w:rFonts w:ascii="Times New Roman" w:hAnsi="Times New Roman" w:cs="Times New Roman"/>
        </w:rPr>
        <w:t>** Незначительное увеличение потребления по отношению к 2011году обусловлено изменением методики расчета за ГВС из системы центрального отопления (тепло для обогрева + тепло для ГВС)</w:t>
      </w:r>
    </w:p>
    <w:p w:rsidR="00E55801" w:rsidRPr="00EC20F8" w:rsidRDefault="00E55801" w:rsidP="00E55801">
      <w:pPr>
        <w:spacing w:line="240" w:lineRule="auto"/>
        <w:ind w:firstLine="426"/>
        <w:contextualSpacing/>
        <w:jc w:val="both"/>
        <w:rPr>
          <w:rFonts w:ascii="Times New Roman" w:hAnsi="Times New Roman" w:cs="Times New Roman"/>
          <w:sz w:val="28"/>
          <w:szCs w:val="28"/>
        </w:rPr>
      </w:pPr>
      <w:r w:rsidRPr="00EC20F8">
        <w:rPr>
          <w:rFonts w:ascii="Times New Roman" w:hAnsi="Times New Roman" w:cs="Times New Roman"/>
        </w:rPr>
        <w:t xml:space="preserve">*** Незначительное увеличение потребления холодной воды объясняется изменением методики расчета за ГВС из системы отопления (ХВС + ХВС для ГВС). </w:t>
      </w:r>
    </w:p>
    <w:p w:rsidR="00E55801" w:rsidRPr="00EC20F8" w:rsidRDefault="00E55801" w:rsidP="00E55801">
      <w:pPr>
        <w:spacing w:line="240" w:lineRule="auto"/>
        <w:ind w:firstLine="426"/>
        <w:contextualSpacing/>
        <w:jc w:val="both"/>
        <w:rPr>
          <w:rFonts w:ascii="Times New Roman" w:hAnsi="Times New Roman" w:cs="Times New Roman"/>
          <w:bCs/>
        </w:rPr>
      </w:pPr>
      <w:r w:rsidRPr="00EC20F8">
        <w:rPr>
          <w:rFonts w:ascii="Times New Roman" w:hAnsi="Times New Roman" w:cs="Times New Roman"/>
          <w:b/>
          <w:bCs/>
          <w:u w:val="single"/>
        </w:rPr>
        <w:t>Примечание:</w:t>
      </w:r>
      <w:r w:rsidRPr="00EC20F8">
        <w:rPr>
          <w:rFonts w:ascii="Times New Roman" w:hAnsi="Times New Roman" w:cs="Times New Roman"/>
          <w:bCs/>
        </w:rPr>
        <w:t xml:space="preserve"> Величина удельных показателей по итогам первого полугодия 2014 года не приводится, т. к. их сравнение с годовыми показателями не корректно и зависит от погодных условий.</w:t>
      </w:r>
    </w:p>
    <w:p w:rsidR="00C606D1" w:rsidRPr="00EC20F8" w:rsidRDefault="00C606D1" w:rsidP="00C606D1">
      <w:pPr>
        <w:spacing w:line="240" w:lineRule="auto"/>
        <w:ind w:firstLine="709"/>
        <w:contextualSpacing/>
        <w:jc w:val="both"/>
        <w:rPr>
          <w:rFonts w:ascii="Times New Roman" w:hAnsi="Times New Roman" w:cs="Times New Roman"/>
          <w:bCs/>
          <w:sz w:val="12"/>
          <w:szCs w:val="12"/>
        </w:rPr>
      </w:pPr>
    </w:p>
    <w:p w:rsidR="00C606D1" w:rsidRPr="00EC20F8" w:rsidRDefault="00E55801" w:rsidP="00C606D1">
      <w:pPr>
        <w:spacing w:line="240" w:lineRule="auto"/>
        <w:ind w:firstLine="709"/>
        <w:contextualSpacing/>
        <w:jc w:val="both"/>
        <w:rPr>
          <w:rFonts w:ascii="Times New Roman" w:eastAsia="Times New Roman" w:hAnsi="Times New Roman" w:cs="Times New Roman"/>
          <w:sz w:val="28"/>
          <w:szCs w:val="28"/>
          <w:lang w:eastAsia="ru-RU"/>
        </w:rPr>
      </w:pPr>
      <w:r w:rsidRPr="00EC20F8">
        <w:rPr>
          <w:rFonts w:ascii="Times New Roman" w:hAnsi="Times New Roman" w:cs="Times New Roman"/>
          <w:sz w:val="28"/>
          <w:szCs w:val="28"/>
        </w:rPr>
        <w:t xml:space="preserve">В период с 2011 по 2014 год </w:t>
      </w:r>
      <w:r w:rsidRPr="00EC20F8">
        <w:rPr>
          <w:rFonts w:ascii="Times New Roman" w:eastAsia="Times New Roman" w:hAnsi="Times New Roman" w:cs="Times New Roman"/>
          <w:bCs/>
          <w:sz w:val="28"/>
          <w:szCs w:val="28"/>
          <w:lang w:eastAsia="ru-RU"/>
        </w:rPr>
        <w:t xml:space="preserve">администрацией </w:t>
      </w:r>
      <w:proofErr w:type="gramStart"/>
      <w:r w:rsidRPr="00EC20F8">
        <w:rPr>
          <w:rFonts w:ascii="Times New Roman" w:eastAsia="Times New Roman" w:hAnsi="Times New Roman" w:cs="Times New Roman"/>
          <w:bCs/>
          <w:sz w:val="28"/>
          <w:szCs w:val="28"/>
          <w:lang w:eastAsia="ru-RU"/>
        </w:rPr>
        <w:t>Петропавловск-Камчатского</w:t>
      </w:r>
      <w:proofErr w:type="gramEnd"/>
      <w:r w:rsidRPr="00EC20F8">
        <w:rPr>
          <w:rFonts w:ascii="Times New Roman" w:eastAsia="Times New Roman" w:hAnsi="Times New Roman" w:cs="Times New Roman"/>
          <w:bCs/>
          <w:sz w:val="28"/>
          <w:szCs w:val="28"/>
          <w:lang w:eastAsia="ru-RU"/>
        </w:rPr>
        <w:t xml:space="preserve"> городского округа запущен ряд проектов по внедрению энергосберегающих технологий в учреждениях социальной сферы. </w:t>
      </w:r>
      <w:proofErr w:type="gramStart"/>
      <w:r w:rsidRPr="00EC20F8">
        <w:rPr>
          <w:rFonts w:ascii="Times New Roman" w:eastAsia="Times New Roman" w:hAnsi="Times New Roman" w:cs="Times New Roman"/>
          <w:bCs/>
          <w:sz w:val="28"/>
          <w:szCs w:val="28"/>
          <w:lang w:eastAsia="ru-RU"/>
        </w:rPr>
        <w:t xml:space="preserve">Они включают в себя в </w:t>
      </w:r>
      <w:r w:rsidRPr="00EC20F8">
        <w:rPr>
          <w:rFonts w:ascii="Times New Roman" w:eastAsia="Times New Roman" w:hAnsi="Times New Roman" w:cs="Times New Roman"/>
          <w:sz w:val="28"/>
          <w:szCs w:val="28"/>
          <w:lang w:eastAsia="ru-RU"/>
        </w:rPr>
        <w:t xml:space="preserve"> первую очередь мероприятия, касающиеся общестроительных работ (мероприятия по замене окон, ремонту кровель, утеплению фасадов и межпанельных швов, электромонтажные работы), а также мероприятия по ремонту электропроводки, замене электрооборудования и замене ламп накаливания.</w:t>
      </w:r>
      <w:proofErr w:type="gramEnd"/>
      <w:r w:rsidRPr="00EC20F8">
        <w:rPr>
          <w:rFonts w:ascii="Times New Roman" w:eastAsia="Times New Roman" w:hAnsi="Times New Roman" w:cs="Times New Roman"/>
          <w:sz w:val="28"/>
          <w:szCs w:val="28"/>
          <w:lang w:eastAsia="ru-RU"/>
        </w:rPr>
        <w:t xml:space="preserve"> Основная цель этих проектов – сокращение потребления тепловой и электрической энергии. В ходе внедрения этих проектов можно ожидать дальнейшее снижение удельных показателей потребления энергетических ресурсов муниципальными учреждениями.</w:t>
      </w:r>
    </w:p>
    <w:p w:rsidR="00E55801" w:rsidRPr="00EC20F8" w:rsidRDefault="00E55801" w:rsidP="00C606D1">
      <w:pPr>
        <w:spacing w:line="240" w:lineRule="auto"/>
        <w:ind w:firstLine="709"/>
        <w:contextualSpacing/>
        <w:jc w:val="both"/>
        <w:rPr>
          <w:rFonts w:ascii="Times New Roman" w:eastAsia="Times New Roman" w:hAnsi="Times New Roman" w:cs="Times New Roman"/>
          <w:sz w:val="28"/>
          <w:szCs w:val="28"/>
          <w:lang w:eastAsia="ru-RU"/>
        </w:rPr>
      </w:pPr>
      <w:r w:rsidRPr="00EC20F8">
        <w:rPr>
          <w:rFonts w:ascii="Times New Roman" w:eastAsia="Times New Roman" w:hAnsi="Times New Roman" w:cs="Times New Roman"/>
          <w:sz w:val="28"/>
          <w:szCs w:val="28"/>
          <w:lang w:eastAsia="ru-RU"/>
        </w:rPr>
        <w:t xml:space="preserve">На муниципальном жилищном фонде за период с 2011 года по настоящее время выполняется установка коллективных и индивидуальных приборов учета потребления коммунальных ресурсов (табл. </w:t>
      </w:r>
      <w:r w:rsidR="00C606D1" w:rsidRPr="00EC20F8">
        <w:rPr>
          <w:rFonts w:ascii="Times New Roman" w:eastAsia="Times New Roman" w:hAnsi="Times New Roman" w:cs="Times New Roman"/>
          <w:sz w:val="28"/>
          <w:szCs w:val="28"/>
          <w:lang w:eastAsia="ru-RU"/>
        </w:rPr>
        <w:t>19.1.</w:t>
      </w:r>
      <w:r w:rsidRPr="00EC20F8">
        <w:rPr>
          <w:rFonts w:ascii="Times New Roman" w:eastAsia="Times New Roman" w:hAnsi="Times New Roman" w:cs="Times New Roman"/>
          <w:sz w:val="28"/>
          <w:szCs w:val="28"/>
          <w:lang w:eastAsia="ru-RU"/>
        </w:rPr>
        <w:t>2).</w:t>
      </w:r>
    </w:p>
    <w:p w:rsidR="00E55801" w:rsidRPr="00EC20F8" w:rsidRDefault="00E55801" w:rsidP="00E55801">
      <w:pPr>
        <w:spacing w:line="240" w:lineRule="auto"/>
        <w:ind w:firstLine="851"/>
        <w:contextualSpacing/>
        <w:jc w:val="right"/>
        <w:rPr>
          <w:rFonts w:ascii="Times New Roman" w:eastAsia="Times New Roman" w:hAnsi="Times New Roman" w:cs="Times New Roman"/>
          <w:sz w:val="28"/>
          <w:szCs w:val="28"/>
          <w:lang w:eastAsia="ru-RU"/>
        </w:rPr>
      </w:pPr>
      <w:r w:rsidRPr="00EC20F8">
        <w:rPr>
          <w:rFonts w:ascii="Times New Roman" w:hAnsi="Times New Roman" w:cs="Times New Roman"/>
          <w:i/>
          <w:sz w:val="24"/>
          <w:szCs w:val="24"/>
        </w:rPr>
        <w:t xml:space="preserve">Таблица </w:t>
      </w:r>
      <w:r w:rsidR="00C606D1" w:rsidRPr="00EC20F8">
        <w:rPr>
          <w:rFonts w:ascii="Times New Roman" w:hAnsi="Times New Roman" w:cs="Times New Roman"/>
          <w:i/>
          <w:sz w:val="24"/>
          <w:szCs w:val="24"/>
        </w:rPr>
        <w:t>19.1.</w:t>
      </w:r>
      <w:r w:rsidRPr="00EC20F8">
        <w:rPr>
          <w:rFonts w:ascii="Times New Roman" w:hAnsi="Times New Roman" w:cs="Times New Roman"/>
          <w:i/>
          <w:sz w:val="24"/>
          <w:szCs w:val="24"/>
        </w:rPr>
        <w:t>2.</w:t>
      </w:r>
    </w:p>
    <w:tbl>
      <w:tblPr>
        <w:tblStyle w:val="afd"/>
        <w:tblW w:w="9514" w:type="dxa"/>
        <w:tblLook w:val="04A0"/>
      </w:tblPr>
      <w:tblGrid>
        <w:gridCol w:w="4786"/>
        <w:gridCol w:w="1260"/>
        <w:gridCol w:w="1149"/>
        <w:gridCol w:w="1149"/>
        <w:gridCol w:w="1170"/>
      </w:tblGrid>
      <w:tr w:rsidR="00E55801" w:rsidRPr="00EC20F8" w:rsidTr="006C1F50">
        <w:tc>
          <w:tcPr>
            <w:tcW w:w="4786" w:type="dxa"/>
            <w:vMerge w:val="restart"/>
            <w:vAlign w:val="center"/>
          </w:tcPr>
          <w:p w:rsidR="00E55801" w:rsidRPr="00EC20F8" w:rsidRDefault="00E55801" w:rsidP="00E55801">
            <w:pPr>
              <w:spacing w:before="100" w:beforeAutospacing="1" w:after="100" w:afterAutospacing="1" w:line="232" w:lineRule="auto"/>
              <w:contextualSpacing/>
              <w:jc w:val="center"/>
              <w:rPr>
                <w:rFonts w:ascii="Times New Roman" w:hAnsi="Times New Roman" w:cs="Times New Roman"/>
                <w:sz w:val="24"/>
                <w:szCs w:val="24"/>
              </w:rPr>
            </w:pPr>
            <w:r w:rsidRPr="00EC20F8">
              <w:rPr>
                <w:rFonts w:ascii="Times New Roman" w:hAnsi="Times New Roman" w:cs="Times New Roman"/>
                <w:sz w:val="24"/>
                <w:szCs w:val="24"/>
              </w:rPr>
              <w:t>Наименование мероприятия</w:t>
            </w:r>
          </w:p>
        </w:tc>
        <w:tc>
          <w:tcPr>
            <w:tcW w:w="4728" w:type="dxa"/>
            <w:gridSpan w:val="4"/>
            <w:vAlign w:val="center"/>
          </w:tcPr>
          <w:p w:rsidR="00E55801" w:rsidRPr="00EC20F8" w:rsidRDefault="00E55801" w:rsidP="00E55801">
            <w:pPr>
              <w:spacing w:before="100" w:beforeAutospacing="1" w:after="100" w:afterAutospacing="1" w:line="232" w:lineRule="auto"/>
              <w:contextualSpacing/>
              <w:jc w:val="center"/>
              <w:rPr>
                <w:rFonts w:ascii="Times New Roman" w:hAnsi="Times New Roman" w:cs="Times New Roman"/>
                <w:sz w:val="24"/>
                <w:szCs w:val="24"/>
              </w:rPr>
            </w:pPr>
            <w:r w:rsidRPr="00EC20F8">
              <w:rPr>
                <w:rFonts w:ascii="Times New Roman" w:hAnsi="Times New Roman" w:cs="Times New Roman"/>
                <w:sz w:val="24"/>
                <w:szCs w:val="24"/>
              </w:rPr>
              <w:t>На сумму млн. рублей</w:t>
            </w:r>
          </w:p>
        </w:tc>
      </w:tr>
      <w:tr w:rsidR="00E55801" w:rsidRPr="00EC20F8" w:rsidTr="006C1F50">
        <w:tc>
          <w:tcPr>
            <w:tcW w:w="4786" w:type="dxa"/>
            <w:vMerge/>
            <w:vAlign w:val="center"/>
          </w:tcPr>
          <w:p w:rsidR="00E55801" w:rsidRPr="00EC20F8" w:rsidRDefault="00E55801" w:rsidP="00E55801">
            <w:pPr>
              <w:spacing w:before="100" w:beforeAutospacing="1" w:after="100" w:afterAutospacing="1" w:line="232" w:lineRule="auto"/>
              <w:contextualSpacing/>
              <w:jc w:val="center"/>
              <w:rPr>
                <w:rFonts w:ascii="Times New Roman" w:hAnsi="Times New Roman" w:cs="Times New Roman"/>
                <w:sz w:val="24"/>
                <w:szCs w:val="24"/>
              </w:rPr>
            </w:pPr>
          </w:p>
        </w:tc>
        <w:tc>
          <w:tcPr>
            <w:tcW w:w="3558" w:type="dxa"/>
            <w:gridSpan w:val="3"/>
            <w:vAlign w:val="center"/>
          </w:tcPr>
          <w:p w:rsidR="00E55801" w:rsidRPr="00EC20F8" w:rsidRDefault="00E55801" w:rsidP="00E55801">
            <w:pPr>
              <w:spacing w:before="100" w:beforeAutospacing="1" w:after="100" w:afterAutospacing="1" w:line="232" w:lineRule="auto"/>
              <w:contextualSpacing/>
              <w:jc w:val="center"/>
              <w:rPr>
                <w:rFonts w:ascii="Times New Roman" w:hAnsi="Times New Roman" w:cs="Times New Roman"/>
                <w:sz w:val="24"/>
                <w:szCs w:val="24"/>
              </w:rPr>
            </w:pPr>
            <w:r w:rsidRPr="00EC20F8">
              <w:rPr>
                <w:rFonts w:ascii="Times New Roman" w:hAnsi="Times New Roman" w:cs="Times New Roman"/>
                <w:sz w:val="24"/>
                <w:szCs w:val="24"/>
              </w:rPr>
              <w:t>Выполнено мероприятий</w:t>
            </w:r>
          </w:p>
        </w:tc>
        <w:tc>
          <w:tcPr>
            <w:tcW w:w="1170" w:type="dxa"/>
          </w:tcPr>
          <w:p w:rsidR="00E55801" w:rsidRPr="00EC20F8" w:rsidRDefault="00E55801" w:rsidP="00E55801">
            <w:pPr>
              <w:spacing w:before="100" w:beforeAutospacing="1" w:after="100" w:afterAutospacing="1" w:line="232" w:lineRule="auto"/>
              <w:contextualSpacing/>
              <w:jc w:val="center"/>
              <w:rPr>
                <w:rFonts w:ascii="Times New Roman" w:hAnsi="Times New Roman" w:cs="Times New Roman"/>
                <w:sz w:val="24"/>
                <w:szCs w:val="24"/>
              </w:rPr>
            </w:pPr>
            <w:r w:rsidRPr="00EC20F8">
              <w:rPr>
                <w:rFonts w:ascii="Times New Roman" w:hAnsi="Times New Roman" w:cs="Times New Roman"/>
                <w:sz w:val="24"/>
                <w:szCs w:val="24"/>
              </w:rPr>
              <w:t>План</w:t>
            </w:r>
          </w:p>
        </w:tc>
      </w:tr>
      <w:tr w:rsidR="00E55801" w:rsidRPr="00EC20F8" w:rsidTr="006C1F50">
        <w:tc>
          <w:tcPr>
            <w:tcW w:w="4786" w:type="dxa"/>
            <w:vMerge/>
            <w:vAlign w:val="center"/>
          </w:tcPr>
          <w:p w:rsidR="00E55801" w:rsidRPr="00EC20F8" w:rsidRDefault="00E55801" w:rsidP="00E55801">
            <w:pPr>
              <w:spacing w:before="100" w:beforeAutospacing="1" w:after="100" w:afterAutospacing="1" w:line="232" w:lineRule="auto"/>
              <w:contextualSpacing/>
              <w:jc w:val="center"/>
              <w:rPr>
                <w:rFonts w:ascii="Times New Roman" w:hAnsi="Times New Roman" w:cs="Times New Roman"/>
                <w:sz w:val="24"/>
                <w:szCs w:val="24"/>
              </w:rPr>
            </w:pPr>
          </w:p>
        </w:tc>
        <w:tc>
          <w:tcPr>
            <w:tcW w:w="1260" w:type="dxa"/>
            <w:vAlign w:val="center"/>
          </w:tcPr>
          <w:p w:rsidR="00E55801" w:rsidRPr="00EC20F8" w:rsidRDefault="00E55801" w:rsidP="00E55801">
            <w:pPr>
              <w:spacing w:before="100" w:beforeAutospacing="1" w:after="100" w:afterAutospacing="1" w:line="232" w:lineRule="auto"/>
              <w:contextualSpacing/>
              <w:jc w:val="center"/>
              <w:rPr>
                <w:rFonts w:ascii="Times New Roman" w:hAnsi="Times New Roman" w:cs="Times New Roman"/>
                <w:sz w:val="24"/>
                <w:szCs w:val="24"/>
              </w:rPr>
            </w:pPr>
            <w:r w:rsidRPr="00EC20F8">
              <w:rPr>
                <w:rFonts w:ascii="Times New Roman" w:hAnsi="Times New Roman" w:cs="Times New Roman"/>
                <w:sz w:val="24"/>
                <w:szCs w:val="24"/>
              </w:rPr>
              <w:t>2011 год</w:t>
            </w:r>
          </w:p>
        </w:tc>
        <w:tc>
          <w:tcPr>
            <w:tcW w:w="1149" w:type="dxa"/>
          </w:tcPr>
          <w:p w:rsidR="00E55801" w:rsidRPr="00EC20F8" w:rsidRDefault="00E55801" w:rsidP="00E55801">
            <w:pPr>
              <w:spacing w:line="232" w:lineRule="auto"/>
              <w:rPr>
                <w:rFonts w:ascii="Times New Roman" w:hAnsi="Times New Roman" w:cs="Times New Roman"/>
                <w:sz w:val="24"/>
                <w:szCs w:val="24"/>
              </w:rPr>
            </w:pPr>
            <w:r w:rsidRPr="00EC20F8">
              <w:rPr>
                <w:rFonts w:ascii="Times New Roman" w:hAnsi="Times New Roman" w:cs="Times New Roman"/>
                <w:sz w:val="24"/>
                <w:szCs w:val="24"/>
              </w:rPr>
              <w:t>2012 год</w:t>
            </w:r>
          </w:p>
        </w:tc>
        <w:tc>
          <w:tcPr>
            <w:tcW w:w="1149" w:type="dxa"/>
          </w:tcPr>
          <w:p w:rsidR="00E55801" w:rsidRPr="00EC20F8" w:rsidRDefault="00E55801" w:rsidP="00E55801">
            <w:pPr>
              <w:spacing w:line="232" w:lineRule="auto"/>
              <w:rPr>
                <w:rFonts w:ascii="Times New Roman" w:hAnsi="Times New Roman" w:cs="Times New Roman"/>
                <w:sz w:val="24"/>
                <w:szCs w:val="24"/>
              </w:rPr>
            </w:pPr>
            <w:r w:rsidRPr="00EC20F8">
              <w:rPr>
                <w:rFonts w:ascii="Times New Roman" w:hAnsi="Times New Roman" w:cs="Times New Roman"/>
                <w:sz w:val="24"/>
                <w:szCs w:val="24"/>
              </w:rPr>
              <w:t>2013 год</w:t>
            </w:r>
          </w:p>
        </w:tc>
        <w:tc>
          <w:tcPr>
            <w:tcW w:w="1170" w:type="dxa"/>
          </w:tcPr>
          <w:p w:rsidR="00E55801" w:rsidRPr="00EC20F8" w:rsidRDefault="00E55801" w:rsidP="00E55801">
            <w:pPr>
              <w:spacing w:line="232" w:lineRule="auto"/>
              <w:rPr>
                <w:rFonts w:ascii="Times New Roman" w:hAnsi="Times New Roman" w:cs="Times New Roman"/>
                <w:sz w:val="24"/>
                <w:szCs w:val="24"/>
              </w:rPr>
            </w:pPr>
            <w:r w:rsidRPr="00EC20F8">
              <w:rPr>
                <w:rFonts w:ascii="Times New Roman" w:hAnsi="Times New Roman" w:cs="Times New Roman"/>
                <w:sz w:val="24"/>
                <w:szCs w:val="24"/>
              </w:rPr>
              <w:t>2014 год</w:t>
            </w:r>
          </w:p>
        </w:tc>
      </w:tr>
      <w:tr w:rsidR="00E55801" w:rsidRPr="00EC20F8" w:rsidTr="006C1F50">
        <w:tc>
          <w:tcPr>
            <w:tcW w:w="4786" w:type="dxa"/>
            <w:vAlign w:val="center"/>
          </w:tcPr>
          <w:p w:rsidR="00E55801" w:rsidRPr="00EC20F8" w:rsidRDefault="00E55801" w:rsidP="00E55801">
            <w:pPr>
              <w:spacing w:before="100" w:beforeAutospacing="1" w:after="100" w:afterAutospacing="1" w:line="232" w:lineRule="auto"/>
              <w:contextualSpacing/>
              <w:jc w:val="both"/>
              <w:rPr>
                <w:rFonts w:ascii="Times New Roman" w:hAnsi="Times New Roman" w:cs="Times New Roman"/>
                <w:sz w:val="24"/>
                <w:szCs w:val="24"/>
              </w:rPr>
            </w:pPr>
            <w:r w:rsidRPr="00EC20F8">
              <w:rPr>
                <w:rFonts w:ascii="Times New Roman" w:hAnsi="Times New Roman" w:cs="Times New Roman"/>
                <w:sz w:val="24"/>
                <w:szCs w:val="24"/>
              </w:rPr>
              <w:t xml:space="preserve">Установка </w:t>
            </w:r>
            <w:r w:rsidRPr="00EC20F8">
              <w:rPr>
                <w:rFonts w:ascii="Times New Roman" w:hAnsi="Times New Roman" w:cs="Times New Roman"/>
                <w:bCs/>
                <w:sz w:val="24"/>
                <w:szCs w:val="24"/>
              </w:rPr>
              <w:t>коллективных (</w:t>
            </w:r>
            <w:proofErr w:type="spellStart"/>
            <w:r w:rsidRPr="00EC20F8">
              <w:rPr>
                <w:rFonts w:ascii="Times New Roman" w:hAnsi="Times New Roman" w:cs="Times New Roman"/>
                <w:bCs/>
                <w:sz w:val="24"/>
                <w:szCs w:val="24"/>
              </w:rPr>
              <w:t>общедомовых</w:t>
            </w:r>
            <w:proofErr w:type="spellEnd"/>
            <w:r w:rsidRPr="00EC20F8">
              <w:rPr>
                <w:rFonts w:ascii="Times New Roman" w:hAnsi="Times New Roman" w:cs="Times New Roman"/>
                <w:bCs/>
                <w:sz w:val="24"/>
                <w:szCs w:val="24"/>
              </w:rPr>
              <w:t xml:space="preserve">) </w:t>
            </w:r>
            <w:r w:rsidRPr="00EC20F8">
              <w:rPr>
                <w:rFonts w:ascii="Times New Roman" w:hAnsi="Times New Roman" w:cs="Times New Roman"/>
                <w:sz w:val="24"/>
                <w:szCs w:val="24"/>
              </w:rPr>
              <w:t>приборов учета потребле</w:t>
            </w:r>
            <w:r w:rsidRPr="00EC20F8">
              <w:rPr>
                <w:rFonts w:ascii="Times New Roman" w:hAnsi="Times New Roman" w:cs="Times New Roman"/>
                <w:sz w:val="24"/>
                <w:szCs w:val="24"/>
              </w:rPr>
              <w:softHyphen/>
              <w:t>ния коммунальных ресурсов на объ</w:t>
            </w:r>
            <w:r w:rsidRPr="00EC20F8">
              <w:rPr>
                <w:rFonts w:ascii="Times New Roman" w:hAnsi="Times New Roman" w:cs="Times New Roman"/>
                <w:sz w:val="24"/>
                <w:szCs w:val="24"/>
              </w:rPr>
              <w:softHyphen/>
              <w:t>ектах муниципального жилищного фонда и погашение обязательств пе</w:t>
            </w:r>
            <w:r w:rsidRPr="00EC20F8">
              <w:rPr>
                <w:rFonts w:ascii="Times New Roman" w:hAnsi="Times New Roman" w:cs="Times New Roman"/>
                <w:sz w:val="24"/>
                <w:szCs w:val="24"/>
              </w:rPr>
              <w:softHyphen/>
              <w:t xml:space="preserve">ред </w:t>
            </w:r>
            <w:proofErr w:type="spellStart"/>
            <w:r w:rsidRPr="00EC20F8">
              <w:rPr>
                <w:rFonts w:ascii="Times New Roman" w:hAnsi="Times New Roman" w:cs="Times New Roman"/>
                <w:sz w:val="24"/>
                <w:szCs w:val="24"/>
              </w:rPr>
              <w:t>ресурсоснабжающими</w:t>
            </w:r>
            <w:proofErr w:type="spellEnd"/>
            <w:r w:rsidRPr="00EC20F8">
              <w:rPr>
                <w:rFonts w:ascii="Times New Roman" w:hAnsi="Times New Roman" w:cs="Times New Roman"/>
                <w:sz w:val="24"/>
                <w:szCs w:val="24"/>
              </w:rPr>
              <w:t xml:space="preserve"> организа</w:t>
            </w:r>
            <w:r w:rsidRPr="00EC20F8">
              <w:rPr>
                <w:rFonts w:ascii="Times New Roman" w:hAnsi="Times New Roman" w:cs="Times New Roman"/>
                <w:sz w:val="24"/>
                <w:szCs w:val="24"/>
              </w:rPr>
              <w:softHyphen/>
              <w:t>циями за установленные приборы учета коммунальных ресурсов на объ</w:t>
            </w:r>
            <w:r w:rsidRPr="00EC20F8">
              <w:rPr>
                <w:rFonts w:ascii="Times New Roman" w:hAnsi="Times New Roman" w:cs="Times New Roman"/>
                <w:sz w:val="24"/>
                <w:szCs w:val="24"/>
              </w:rPr>
              <w:softHyphen/>
              <w:t>ектах муниципального жилищного фонда</w:t>
            </w:r>
          </w:p>
        </w:tc>
        <w:tc>
          <w:tcPr>
            <w:tcW w:w="1260" w:type="dxa"/>
            <w:vAlign w:val="center"/>
          </w:tcPr>
          <w:p w:rsidR="00E55801" w:rsidRPr="00EC20F8" w:rsidRDefault="00E55801" w:rsidP="00E55801">
            <w:pPr>
              <w:spacing w:before="100" w:beforeAutospacing="1" w:after="100" w:afterAutospacing="1" w:line="232" w:lineRule="auto"/>
              <w:contextualSpacing/>
              <w:jc w:val="center"/>
              <w:rPr>
                <w:rFonts w:ascii="Times New Roman" w:hAnsi="Times New Roman" w:cs="Times New Roman"/>
                <w:sz w:val="24"/>
                <w:szCs w:val="24"/>
              </w:rPr>
            </w:pPr>
            <w:r w:rsidRPr="00EC20F8">
              <w:rPr>
                <w:rFonts w:ascii="Times New Roman" w:hAnsi="Times New Roman" w:cs="Times New Roman"/>
                <w:sz w:val="24"/>
                <w:szCs w:val="24"/>
              </w:rPr>
              <w:t>0</w:t>
            </w:r>
          </w:p>
        </w:tc>
        <w:tc>
          <w:tcPr>
            <w:tcW w:w="1149" w:type="dxa"/>
            <w:vAlign w:val="center"/>
          </w:tcPr>
          <w:p w:rsidR="00E55801" w:rsidRPr="00EC20F8" w:rsidRDefault="00E55801" w:rsidP="00E55801">
            <w:pPr>
              <w:spacing w:before="100" w:beforeAutospacing="1" w:after="100" w:afterAutospacing="1" w:line="232" w:lineRule="auto"/>
              <w:contextualSpacing/>
              <w:jc w:val="center"/>
              <w:rPr>
                <w:rFonts w:ascii="Times New Roman" w:hAnsi="Times New Roman" w:cs="Times New Roman"/>
                <w:sz w:val="24"/>
                <w:szCs w:val="24"/>
              </w:rPr>
            </w:pPr>
            <w:r w:rsidRPr="00EC20F8">
              <w:rPr>
                <w:rFonts w:ascii="Times New Roman" w:hAnsi="Times New Roman" w:cs="Times New Roman"/>
                <w:sz w:val="24"/>
                <w:szCs w:val="24"/>
              </w:rPr>
              <w:t>5,451</w:t>
            </w:r>
          </w:p>
        </w:tc>
        <w:tc>
          <w:tcPr>
            <w:tcW w:w="1149" w:type="dxa"/>
            <w:vAlign w:val="center"/>
          </w:tcPr>
          <w:p w:rsidR="00E55801" w:rsidRPr="00EC20F8" w:rsidRDefault="00E55801" w:rsidP="00E55801">
            <w:pPr>
              <w:spacing w:before="100" w:beforeAutospacing="1" w:after="100" w:afterAutospacing="1" w:line="232" w:lineRule="auto"/>
              <w:contextualSpacing/>
              <w:jc w:val="center"/>
              <w:rPr>
                <w:rFonts w:ascii="Times New Roman" w:hAnsi="Times New Roman" w:cs="Times New Roman"/>
                <w:sz w:val="24"/>
                <w:szCs w:val="24"/>
              </w:rPr>
            </w:pPr>
            <w:r w:rsidRPr="00EC20F8">
              <w:rPr>
                <w:rFonts w:ascii="Times New Roman" w:hAnsi="Times New Roman" w:cs="Times New Roman"/>
                <w:sz w:val="24"/>
                <w:szCs w:val="24"/>
              </w:rPr>
              <w:t>2,965</w:t>
            </w:r>
          </w:p>
        </w:tc>
        <w:tc>
          <w:tcPr>
            <w:tcW w:w="1170" w:type="dxa"/>
            <w:vAlign w:val="center"/>
          </w:tcPr>
          <w:p w:rsidR="00E55801" w:rsidRPr="00EC20F8" w:rsidRDefault="00E55801" w:rsidP="00E55801">
            <w:pPr>
              <w:spacing w:before="100" w:beforeAutospacing="1" w:after="100" w:afterAutospacing="1" w:line="232" w:lineRule="auto"/>
              <w:contextualSpacing/>
              <w:jc w:val="center"/>
              <w:rPr>
                <w:rFonts w:ascii="Times New Roman" w:hAnsi="Times New Roman" w:cs="Times New Roman"/>
                <w:sz w:val="24"/>
                <w:szCs w:val="24"/>
              </w:rPr>
            </w:pPr>
            <w:r w:rsidRPr="00EC20F8">
              <w:rPr>
                <w:rFonts w:ascii="Times New Roman" w:hAnsi="Times New Roman" w:cs="Times New Roman"/>
                <w:sz w:val="24"/>
                <w:szCs w:val="24"/>
              </w:rPr>
              <w:t>18,32</w:t>
            </w:r>
          </w:p>
        </w:tc>
      </w:tr>
      <w:tr w:rsidR="00E55801" w:rsidRPr="00EC20F8" w:rsidTr="006C1F50">
        <w:tc>
          <w:tcPr>
            <w:tcW w:w="4786" w:type="dxa"/>
            <w:vAlign w:val="center"/>
          </w:tcPr>
          <w:p w:rsidR="00E55801" w:rsidRPr="00EC20F8" w:rsidRDefault="00E55801" w:rsidP="00E55801">
            <w:pPr>
              <w:spacing w:before="100" w:beforeAutospacing="1" w:after="100" w:afterAutospacing="1" w:line="232" w:lineRule="auto"/>
              <w:contextualSpacing/>
              <w:jc w:val="both"/>
              <w:rPr>
                <w:rFonts w:ascii="Times New Roman" w:hAnsi="Times New Roman" w:cs="Times New Roman"/>
                <w:sz w:val="24"/>
                <w:szCs w:val="24"/>
              </w:rPr>
            </w:pPr>
            <w:r w:rsidRPr="00EC20F8">
              <w:rPr>
                <w:rFonts w:ascii="Times New Roman" w:hAnsi="Times New Roman" w:cs="Times New Roman"/>
                <w:iCs/>
                <w:sz w:val="24"/>
                <w:szCs w:val="24"/>
              </w:rPr>
              <w:t>Установка приборов учета потребления природного газа, электриче</w:t>
            </w:r>
            <w:r w:rsidRPr="00EC20F8">
              <w:rPr>
                <w:rFonts w:ascii="Times New Roman" w:hAnsi="Times New Roman" w:cs="Times New Roman"/>
                <w:iCs/>
                <w:sz w:val="24"/>
                <w:szCs w:val="24"/>
              </w:rPr>
              <w:softHyphen/>
              <w:t xml:space="preserve">ской энергии, воды для малоимущих граждан </w:t>
            </w:r>
            <w:r w:rsidRPr="00EC20F8">
              <w:rPr>
                <w:rFonts w:ascii="Times New Roman" w:hAnsi="Times New Roman" w:cs="Times New Roman"/>
                <w:bCs/>
                <w:sz w:val="24"/>
                <w:szCs w:val="24"/>
              </w:rPr>
              <w:t>на объектах муниципального жилищного фонда</w:t>
            </w:r>
          </w:p>
        </w:tc>
        <w:tc>
          <w:tcPr>
            <w:tcW w:w="1260" w:type="dxa"/>
            <w:vAlign w:val="center"/>
          </w:tcPr>
          <w:p w:rsidR="00E55801" w:rsidRPr="00EC20F8" w:rsidRDefault="00E55801" w:rsidP="00E55801">
            <w:pPr>
              <w:spacing w:before="100" w:beforeAutospacing="1" w:after="100" w:afterAutospacing="1" w:line="232" w:lineRule="auto"/>
              <w:contextualSpacing/>
              <w:jc w:val="center"/>
              <w:rPr>
                <w:rFonts w:ascii="Times New Roman" w:hAnsi="Times New Roman" w:cs="Times New Roman"/>
                <w:sz w:val="24"/>
                <w:szCs w:val="24"/>
              </w:rPr>
            </w:pPr>
            <w:r w:rsidRPr="00EC20F8">
              <w:rPr>
                <w:rFonts w:ascii="Times New Roman" w:hAnsi="Times New Roman" w:cs="Times New Roman"/>
                <w:iCs/>
                <w:sz w:val="24"/>
                <w:szCs w:val="24"/>
              </w:rPr>
              <w:t>0,</w:t>
            </w:r>
            <w:r w:rsidRPr="00EC20F8">
              <w:rPr>
                <w:rFonts w:ascii="Times New Roman" w:hAnsi="Times New Roman" w:cs="Times New Roman"/>
                <w:sz w:val="24"/>
                <w:szCs w:val="24"/>
              </w:rPr>
              <w:t>634</w:t>
            </w:r>
          </w:p>
        </w:tc>
        <w:tc>
          <w:tcPr>
            <w:tcW w:w="1149" w:type="dxa"/>
            <w:vAlign w:val="center"/>
          </w:tcPr>
          <w:p w:rsidR="00E55801" w:rsidRPr="00EC20F8" w:rsidRDefault="00E55801" w:rsidP="00E55801">
            <w:pPr>
              <w:spacing w:before="100" w:beforeAutospacing="1" w:after="100" w:afterAutospacing="1" w:line="232" w:lineRule="auto"/>
              <w:contextualSpacing/>
              <w:jc w:val="center"/>
              <w:rPr>
                <w:rFonts w:ascii="Times New Roman" w:hAnsi="Times New Roman" w:cs="Times New Roman"/>
                <w:sz w:val="24"/>
                <w:szCs w:val="24"/>
              </w:rPr>
            </w:pPr>
            <w:r w:rsidRPr="00EC20F8">
              <w:rPr>
                <w:rFonts w:ascii="Times New Roman" w:hAnsi="Times New Roman" w:cs="Times New Roman"/>
                <w:sz w:val="24"/>
                <w:szCs w:val="24"/>
              </w:rPr>
              <w:t>0</w:t>
            </w:r>
          </w:p>
        </w:tc>
        <w:tc>
          <w:tcPr>
            <w:tcW w:w="1149" w:type="dxa"/>
            <w:vAlign w:val="center"/>
          </w:tcPr>
          <w:p w:rsidR="00E55801" w:rsidRPr="00EC20F8" w:rsidRDefault="00E55801" w:rsidP="00E55801">
            <w:pPr>
              <w:spacing w:before="100" w:beforeAutospacing="1" w:after="100" w:afterAutospacing="1" w:line="232" w:lineRule="auto"/>
              <w:contextualSpacing/>
              <w:jc w:val="center"/>
              <w:rPr>
                <w:rFonts w:ascii="Times New Roman" w:hAnsi="Times New Roman" w:cs="Times New Roman"/>
                <w:sz w:val="24"/>
                <w:szCs w:val="24"/>
              </w:rPr>
            </w:pPr>
            <w:r w:rsidRPr="00EC20F8">
              <w:rPr>
                <w:rFonts w:ascii="Times New Roman" w:hAnsi="Times New Roman" w:cs="Times New Roman"/>
                <w:sz w:val="24"/>
                <w:szCs w:val="24"/>
              </w:rPr>
              <w:t>0,617</w:t>
            </w:r>
          </w:p>
        </w:tc>
        <w:tc>
          <w:tcPr>
            <w:tcW w:w="1170" w:type="dxa"/>
            <w:vAlign w:val="center"/>
          </w:tcPr>
          <w:p w:rsidR="00E55801" w:rsidRPr="00EC20F8" w:rsidRDefault="00E55801" w:rsidP="00E55801">
            <w:pPr>
              <w:spacing w:before="100" w:beforeAutospacing="1" w:after="100" w:afterAutospacing="1" w:line="232" w:lineRule="auto"/>
              <w:contextualSpacing/>
              <w:jc w:val="center"/>
              <w:rPr>
                <w:rFonts w:ascii="Times New Roman" w:hAnsi="Times New Roman" w:cs="Times New Roman"/>
                <w:sz w:val="24"/>
                <w:szCs w:val="24"/>
              </w:rPr>
            </w:pPr>
            <w:r w:rsidRPr="00EC20F8">
              <w:rPr>
                <w:rFonts w:ascii="Times New Roman" w:hAnsi="Times New Roman" w:cs="Times New Roman"/>
                <w:sz w:val="24"/>
                <w:szCs w:val="24"/>
              </w:rPr>
              <w:t>2,92</w:t>
            </w:r>
          </w:p>
        </w:tc>
      </w:tr>
      <w:tr w:rsidR="00E55801" w:rsidRPr="00EC20F8" w:rsidTr="006C1F50">
        <w:tc>
          <w:tcPr>
            <w:tcW w:w="4786" w:type="dxa"/>
            <w:vAlign w:val="center"/>
          </w:tcPr>
          <w:p w:rsidR="00E55801" w:rsidRPr="00EC20F8" w:rsidRDefault="00E55801" w:rsidP="00E55801">
            <w:pPr>
              <w:spacing w:before="100" w:beforeAutospacing="1" w:after="100" w:afterAutospacing="1" w:line="232" w:lineRule="auto"/>
              <w:contextualSpacing/>
              <w:jc w:val="both"/>
              <w:rPr>
                <w:rFonts w:ascii="Times New Roman" w:hAnsi="Times New Roman" w:cs="Times New Roman"/>
                <w:sz w:val="24"/>
                <w:szCs w:val="24"/>
              </w:rPr>
            </w:pPr>
            <w:r w:rsidRPr="00EC20F8">
              <w:rPr>
                <w:rFonts w:ascii="Times New Roman" w:hAnsi="Times New Roman" w:cs="Times New Roman"/>
                <w:sz w:val="24"/>
                <w:szCs w:val="24"/>
              </w:rPr>
              <w:t>Установка приборов учета потребления природного газа, электрической энергии, воды для малоимущих граждан - соб</w:t>
            </w:r>
            <w:r w:rsidRPr="00EC20F8">
              <w:rPr>
                <w:rFonts w:ascii="Times New Roman" w:hAnsi="Times New Roman" w:cs="Times New Roman"/>
                <w:sz w:val="24"/>
                <w:szCs w:val="24"/>
              </w:rPr>
              <w:softHyphen/>
              <w:t>ственников помещений в многоквар</w:t>
            </w:r>
            <w:r w:rsidRPr="00EC20F8">
              <w:rPr>
                <w:rFonts w:ascii="Times New Roman" w:hAnsi="Times New Roman" w:cs="Times New Roman"/>
                <w:sz w:val="24"/>
                <w:szCs w:val="24"/>
              </w:rPr>
              <w:softHyphen/>
              <w:t>тирных домах</w:t>
            </w:r>
          </w:p>
        </w:tc>
        <w:tc>
          <w:tcPr>
            <w:tcW w:w="1260" w:type="dxa"/>
            <w:vAlign w:val="center"/>
          </w:tcPr>
          <w:p w:rsidR="00E55801" w:rsidRPr="00EC20F8" w:rsidRDefault="00E55801" w:rsidP="00E55801">
            <w:pPr>
              <w:spacing w:before="100" w:beforeAutospacing="1" w:after="100" w:afterAutospacing="1" w:line="232" w:lineRule="auto"/>
              <w:contextualSpacing/>
              <w:jc w:val="center"/>
              <w:rPr>
                <w:rFonts w:ascii="Times New Roman" w:hAnsi="Times New Roman" w:cs="Times New Roman"/>
                <w:sz w:val="24"/>
                <w:szCs w:val="24"/>
              </w:rPr>
            </w:pPr>
            <w:r w:rsidRPr="00EC20F8">
              <w:rPr>
                <w:rFonts w:ascii="Times New Roman" w:hAnsi="Times New Roman" w:cs="Times New Roman"/>
                <w:sz w:val="24"/>
                <w:szCs w:val="24"/>
              </w:rPr>
              <w:t>0</w:t>
            </w:r>
          </w:p>
        </w:tc>
        <w:tc>
          <w:tcPr>
            <w:tcW w:w="1149" w:type="dxa"/>
            <w:vAlign w:val="center"/>
          </w:tcPr>
          <w:p w:rsidR="00E55801" w:rsidRPr="00EC20F8" w:rsidRDefault="00E55801" w:rsidP="00E55801">
            <w:pPr>
              <w:spacing w:before="100" w:beforeAutospacing="1" w:after="100" w:afterAutospacing="1" w:line="232" w:lineRule="auto"/>
              <w:contextualSpacing/>
              <w:jc w:val="center"/>
              <w:rPr>
                <w:rFonts w:ascii="Times New Roman" w:hAnsi="Times New Roman" w:cs="Times New Roman"/>
                <w:sz w:val="24"/>
                <w:szCs w:val="24"/>
              </w:rPr>
            </w:pPr>
            <w:r w:rsidRPr="00EC20F8">
              <w:rPr>
                <w:rFonts w:ascii="Times New Roman" w:hAnsi="Times New Roman" w:cs="Times New Roman"/>
                <w:sz w:val="24"/>
                <w:szCs w:val="24"/>
              </w:rPr>
              <w:t>3,542</w:t>
            </w:r>
          </w:p>
        </w:tc>
        <w:tc>
          <w:tcPr>
            <w:tcW w:w="1149" w:type="dxa"/>
            <w:vAlign w:val="center"/>
          </w:tcPr>
          <w:p w:rsidR="00E55801" w:rsidRPr="00EC20F8" w:rsidRDefault="00E55801" w:rsidP="00E55801">
            <w:pPr>
              <w:spacing w:before="100" w:beforeAutospacing="1" w:after="100" w:afterAutospacing="1" w:line="232" w:lineRule="auto"/>
              <w:contextualSpacing/>
              <w:jc w:val="center"/>
              <w:rPr>
                <w:rFonts w:ascii="Times New Roman" w:hAnsi="Times New Roman" w:cs="Times New Roman"/>
                <w:sz w:val="24"/>
                <w:szCs w:val="24"/>
              </w:rPr>
            </w:pPr>
            <w:r w:rsidRPr="00EC20F8">
              <w:rPr>
                <w:rFonts w:ascii="Times New Roman" w:hAnsi="Times New Roman" w:cs="Times New Roman"/>
                <w:sz w:val="24"/>
                <w:szCs w:val="24"/>
              </w:rPr>
              <w:t>0,351</w:t>
            </w:r>
          </w:p>
        </w:tc>
        <w:tc>
          <w:tcPr>
            <w:tcW w:w="1170" w:type="dxa"/>
            <w:vAlign w:val="center"/>
          </w:tcPr>
          <w:p w:rsidR="00E55801" w:rsidRPr="00EC20F8" w:rsidRDefault="00E55801" w:rsidP="00E55801">
            <w:pPr>
              <w:spacing w:before="100" w:beforeAutospacing="1" w:after="100" w:afterAutospacing="1" w:line="232" w:lineRule="auto"/>
              <w:contextualSpacing/>
              <w:jc w:val="center"/>
              <w:rPr>
                <w:rFonts w:ascii="Times New Roman" w:hAnsi="Times New Roman" w:cs="Times New Roman"/>
                <w:sz w:val="24"/>
                <w:szCs w:val="24"/>
              </w:rPr>
            </w:pPr>
            <w:r w:rsidRPr="00EC20F8">
              <w:rPr>
                <w:rFonts w:ascii="Times New Roman" w:hAnsi="Times New Roman" w:cs="Times New Roman"/>
                <w:sz w:val="24"/>
                <w:szCs w:val="24"/>
              </w:rPr>
              <w:t>1,53</w:t>
            </w:r>
          </w:p>
        </w:tc>
      </w:tr>
      <w:tr w:rsidR="00E55801" w:rsidRPr="00EC20F8" w:rsidTr="006C1F50">
        <w:tc>
          <w:tcPr>
            <w:tcW w:w="4786" w:type="dxa"/>
            <w:vAlign w:val="center"/>
          </w:tcPr>
          <w:p w:rsidR="00E55801" w:rsidRPr="00EC20F8" w:rsidRDefault="00E55801" w:rsidP="00E55801">
            <w:pPr>
              <w:spacing w:before="100" w:beforeAutospacing="1" w:after="100" w:afterAutospacing="1" w:line="232" w:lineRule="auto"/>
              <w:contextualSpacing/>
              <w:rPr>
                <w:rFonts w:ascii="Times New Roman" w:hAnsi="Times New Roman" w:cs="Times New Roman"/>
                <w:sz w:val="24"/>
                <w:szCs w:val="24"/>
              </w:rPr>
            </w:pPr>
            <w:r w:rsidRPr="00EC20F8">
              <w:rPr>
                <w:rFonts w:ascii="Times New Roman" w:hAnsi="Times New Roman" w:cs="Times New Roman"/>
                <w:sz w:val="24"/>
                <w:szCs w:val="24"/>
              </w:rPr>
              <w:t>Итого</w:t>
            </w:r>
          </w:p>
        </w:tc>
        <w:tc>
          <w:tcPr>
            <w:tcW w:w="1260" w:type="dxa"/>
            <w:vAlign w:val="center"/>
          </w:tcPr>
          <w:p w:rsidR="00E55801" w:rsidRPr="00EC20F8" w:rsidRDefault="00E55801" w:rsidP="00E55801">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0,634</w:t>
            </w:r>
          </w:p>
        </w:tc>
        <w:tc>
          <w:tcPr>
            <w:tcW w:w="1149" w:type="dxa"/>
            <w:vAlign w:val="center"/>
          </w:tcPr>
          <w:p w:rsidR="00E55801" w:rsidRPr="00EC20F8" w:rsidRDefault="00E55801" w:rsidP="00E55801">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8,993</w:t>
            </w:r>
          </w:p>
        </w:tc>
        <w:tc>
          <w:tcPr>
            <w:tcW w:w="1149" w:type="dxa"/>
            <w:vAlign w:val="center"/>
          </w:tcPr>
          <w:p w:rsidR="00E55801" w:rsidRPr="00EC20F8" w:rsidRDefault="00E55801" w:rsidP="00E55801">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3,933</w:t>
            </w:r>
          </w:p>
        </w:tc>
        <w:tc>
          <w:tcPr>
            <w:tcW w:w="1170" w:type="dxa"/>
            <w:vAlign w:val="center"/>
          </w:tcPr>
          <w:p w:rsidR="00E55801" w:rsidRPr="00EC20F8" w:rsidRDefault="00E55801" w:rsidP="00E55801">
            <w:pPr>
              <w:spacing w:line="240" w:lineRule="auto"/>
              <w:jc w:val="center"/>
              <w:rPr>
                <w:rFonts w:ascii="Times New Roman" w:hAnsi="Times New Roman" w:cs="Times New Roman"/>
                <w:sz w:val="24"/>
                <w:szCs w:val="24"/>
              </w:rPr>
            </w:pPr>
            <w:r w:rsidRPr="00EC20F8">
              <w:rPr>
                <w:rFonts w:ascii="Times New Roman" w:hAnsi="Times New Roman" w:cs="Times New Roman"/>
                <w:sz w:val="24"/>
                <w:szCs w:val="24"/>
              </w:rPr>
              <w:t>22,77</w:t>
            </w:r>
          </w:p>
        </w:tc>
      </w:tr>
    </w:tbl>
    <w:p w:rsidR="00E55801" w:rsidRPr="00EC20F8" w:rsidRDefault="00E55801" w:rsidP="00E55801">
      <w:pPr>
        <w:spacing w:line="240" w:lineRule="auto"/>
        <w:ind w:firstLine="851"/>
        <w:contextualSpacing/>
        <w:jc w:val="both"/>
        <w:rPr>
          <w:rFonts w:ascii="Times New Roman" w:eastAsia="Times New Roman" w:hAnsi="Times New Roman" w:cs="Times New Roman"/>
          <w:sz w:val="24"/>
          <w:szCs w:val="24"/>
          <w:lang w:eastAsia="ru-RU"/>
        </w:rPr>
      </w:pPr>
    </w:p>
    <w:p w:rsidR="00E55801" w:rsidRPr="00EC20F8" w:rsidRDefault="00E55801" w:rsidP="00E55801">
      <w:pPr>
        <w:spacing w:line="240" w:lineRule="auto"/>
        <w:ind w:firstLine="851"/>
        <w:contextualSpacing/>
        <w:jc w:val="both"/>
        <w:rPr>
          <w:rFonts w:ascii="Times New Roman" w:hAnsi="Times New Roman" w:cs="Times New Roman"/>
          <w:sz w:val="28"/>
          <w:szCs w:val="28"/>
        </w:rPr>
      </w:pPr>
      <w:proofErr w:type="gramStart"/>
      <w:r w:rsidRPr="00EC20F8">
        <w:rPr>
          <w:rFonts w:ascii="Times New Roman" w:eastAsia="Times New Roman" w:hAnsi="Times New Roman" w:cs="Times New Roman"/>
          <w:sz w:val="28"/>
          <w:szCs w:val="28"/>
          <w:lang w:eastAsia="ru-RU"/>
        </w:rPr>
        <w:t>Кроме этого в 2014 году запланировано выполнение работ по с</w:t>
      </w:r>
      <w:r w:rsidRPr="00EC20F8">
        <w:rPr>
          <w:rFonts w:ascii="Times New Roman" w:hAnsi="Times New Roman" w:cs="Times New Roman"/>
          <w:sz w:val="28"/>
          <w:szCs w:val="28"/>
        </w:rPr>
        <w:t>троительству каркасной модульной газовой котельной мощностью 85 Гкал на площадке котельной №1 на сумму 26 383 тыс. рублей и техническое перевооружение основного оборудования объекта «Сооружение котельной №1» (в том числе проектные работы) на сумму 20 761 тыс. рублей.</w:t>
      </w:r>
      <w:proofErr w:type="gramEnd"/>
    </w:p>
    <w:p w:rsidR="00E55801" w:rsidRPr="00EC20F8" w:rsidRDefault="00E55801" w:rsidP="00E55801">
      <w:pPr>
        <w:spacing w:line="240" w:lineRule="auto"/>
        <w:ind w:firstLine="709"/>
        <w:contextualSpacing/>
        <w:jc w:val="both"/>
        <w:rPr>
          <w:rFonts w:ascii="Times New Roman" w:hAnsi="Times New Roman" w:cs="Times New Roman"/>
          <w:sz w:val="28"/>
          <w:szCs w:val="28"/>
        </w:rPr>
      </w:pPr>
      <w:r w:rsidRPr="00EC20F8">
        <w:rPr>
          <w:rFonts w:ascii="Times New Roman" w:hAnsi="Times New Roman" w:cs="Times New Roman"/>
          <w:sz w:val="28"/>
          <w:szCs w:val="28"/>
        </w:rPr>
        <w:t xml:space="preserve">По данным </w:t>
      </w:r>
      <w:proofErr w:type="spellStart"/>
      <w:r w:rsidRPr="00EC20F8">
        <w:rPr>
          <w:rFonts w:ascii="Times New Roman" w:hAnsi="Times New Roman" w:cs="Times New Roman"/>
          <w:sz w:val="28"/>
          <w:szCs w:val="28"/>
        </w:rPr>
        <w:t>ресурсоснабжающих</w:t>
      </w:r>
      <w:proofErr w:type="spellEnd"/>
      <w:r w:rsidRPr="00EC20F8">
        <w:rPr>
          <w:rFonts w:ascii="Times New Roman" w:hAnsi="Times New Roman" w:cs="Times New Roman"/>
          <w:sz w:val="28"/>
          <w:szCs w:val="28"/>
        </w:rPr>
        <w:t xml:space="preserve"> организаций картина оснащения МКД коллективными </w:t>
      </w:r>
      <w:r w:rsidRPr="00EC20F8">
        <w:rPr>
          <w:rFonts w:ascii="Times New Roman" w:eastAsia="Calibri" w:hAnsi="Times New Roman" w:cs="Times New Roman"/>
          <w:sz w:val="28"/>
          <w:szCs w:val="28"/>
        </w:rPr>
        <w:t xml:space="preserve">(общедомовыми) </w:t>
      </w:r>
      <w:r w:rsidRPr="00EC20F8">
        <w:rPr>
          <w:rFonts w:ascii="Times New Roman" w:hAnsi="Times New Roman" w:cs="Times New Roman"/>
          <w:sz w:val="28"/>
          <w:szCs w:val="28"/>
        </w:rPr>
        <w:t xml:space="preserve">приборами  учёта потребления коммунальных ресурсов выглядит следующим образом (табл. </w:t>
      </w:r>
      <w:r w:rsidR="00C606D1" w:rsidRPr="00EC20F8">
        <w:rPr>
          <w:rFonts w:ascii="Times New Roman" w:hAnsi="Times New Roman" w:cs="Times New Roman"/>
          <w:sz w:val="28"/>
          <w:szCs w:val="28"/>
        </w:rPr>
        <w:t>19.1.</w:t>
      </w:r>
      <w:r w:rsidRPr="00EC20F8">
        <w:rPr>
          <w:rFonts w:ascii="Times New Roman" w:hAnsi="Times New Roman" w:cs="Times New Roman"/>
          <w:sz w:val="28"/>
          <w:szCs w:val="28"/>
        </w:rPr>
        <w:t>3).</w:t>
      </w:r>
    </w:p>
    <w:p w:rsidR="00E55801" w:rsidRPr="00EC20F8" w:rsidRDefault="00E55801" w:rsidP="00E55801">
      <w:pPr>
        <w:spacing w:line="240" w:lineRule="auto"/>
        <w:ind w:firstLine="709"/>
        <w:contextualSpacing/>
        <w:jc w:val="both"/>
        <w:rPr>
          <w:rFonts w:ascii="Times New Roman" w:hAnsi="Times New Roman" w:cs="Times New Roman"/>
          <w:sz w:val="28"/>
          <w:szCs w:val="28"/>
        </w:rPr>
      </w:pPr>
    </w:p>
    <w:p w:rsidR="00E55801" w:rsidRPr="00EC20F8" w:rsidRDefault="00E55801" w:rsidP="00E55801">
      <w:pPr>
        <w:spacing w:line="240" w:lineRule="auto"/>
        <w:contextualSpacing/>
        <w:jc w:val="center"/>
        <w:rPr>
          <w:rFonts w:ascii="Times New Roman" w:hAnsi="Times New Roman" w:cs="Times New Roman"/>
          <w:sz w:val="24"/>
          <w:szCs w:val="24"/>
        </w:rPr>
      </w:pPr>
      <w:r w:rsidRPr="00EC20F8">
        <w:rPr>
          <w:rFonts w:ascii="Times New Roman" w:hAnsi="Times New Roman" w:cs="Times New Roman"/>
          <w:sz w:val="24"/>
          <w:szCs w:val="24"/>
        </w:rPr>
        <w:t xml:space="preserve">Оснащенность многоквартирных домов коллективными приборами учета  по данным </w:t>
      </w:r>
      <w:proofErr w:type="spellStart"/>
      <w:r w:rsidRPr="00EC20F8">
        <w:rPr>
          <w:rFonts w:ascii="Times New Roman" w:hAnsi="Times New Roman" w:cs="Times New Roman"/>
          <w:sz w:val="24"/>
          <w:szCs w:val="24"/>
        </w:rPr>
        <w:t>ресурсоснабжающих</w:t>
      </w:r>
      <w:proofErr w:type="spellEnd"/>
      <w:r w:rsidRPr="00EC20F8">
        <w:rPr>
          <w:rFonts w:ascii="Times New Roman" w:hAnsi="Times New Roman" w:cs="Times New Roman"/>
          <w:sz w:val="24"/>
          <w:szCs w:val="24"/>
        </w:rPr>
        <w:t xml:space="preserve"> организаций</w:t>
      </w:r>
    </w:p>
    <w:p w:rsidR="00E55801" w:rsidRPr="00EC20F8" w:rsidRDefault="00E55801" w:rsidP="00E55801">
      <w:pPr>
        <w:spacing w:line="240" w:lineRule="auto"/>
        <w:contextualSpacing/>
        <w:jc w:val="right"/>
        <w:rPr>
          <w:rFonts w:ascii="Times New Roman" w:eastAsia="Calibri" w:hAnsi="Times New Roman" w:cs="Times New Roman"/>
          <w:sz w:val="28"/>
          <w:szCs w:val="28"/>
        </w:rPr>
      </w:pPr>
      <w:r w:rsidRPr="00EC20F8">
        <w:rPr>
          <w:rFonts w:ascii="Times New Roman" w:hAnsi="Times New Roman" w:cs="Times New Roman"/>
          <w:i/>
          <w:sz w:val="24"/>
          <w:szCs w:val="24"/>
        </w:rPr>
        <w:t xml:space="preserve">Таблица </w:t>
      </w:r>
      <w:r w:rsidR="00C606D1" w:rsidRPr="00EC20F8">
        <w:rPr>
          <w:rFonts w:ascii="Times New Roman" w:hAnsi="Times New Roman" w:cs="Times New Roman"/>
          <w:i/>
          <w:sz w:val="24"/>
          <w:szCs w:val="24"/>
        </w:rPr>
        <w:t>19.1.</w:t>
      </w:r>
      <w:r w:rsidRPr="00EC20F8">
        <w:rPr>
          <w:rFonts w:ascii="Times New Roman" w:hAnsi="Times New Roman" w:cs="Times New Roman"/>
          <w:i/>
          <w:sz w:val="24"/>
          <w:szCs w:val="24"/>
        </w:rPr>
        <w:t>3.</w:t>
      </w:r>
    </w:p>
    <w:tbl>
      <w:tblPr>
        <w:tblStyle w:val="afd"/>
        <w:tblW w:w="0" w:type="auto"/>
        <w:tblLook w:val="04A0"/>
      </w:tblPr>
      <w:tblGrid>
        <w:gridCol w:w="2470"/>
        <w:gridCol w:w="2600"/>
        <w:gridCol w:w="2835"/>
        <w:gridCol w:w="1580"/>
      </w:tblGrid>
      <w:tr w:rsidR="00E55801" w:rsidRPr="00EC20F8" w:rsidTr="006C1F50">
        <w:tc>
          <w:tcPr>
            <w:tcW w:w="2470" w:type="dxa"/>
          </w:tcPr>
          <w:p w:rsidR="00E55801" w:rsidRPr="00EC20F8" w:rsidRDefault="00E55801" w:rsidP="00E55801">
            <w:pPr>
              <w:spacing w:line="232" w:lineRule="auto"/>
              <w:contextualSpacing/>
              <w:jc w:val="center"/>
              <w:rPr>
                <w:rFonts w:ascii="Times New Roman" w:hAnsi="Times New Roman" w:cs="Times New Roman"/>
                <w:sz w:val="24"/>
                <w:szCs w:val="24"/>
              </w:rPr>
            </w:pPr>
            <w:r w:rsidRPr="00EC20F8">
              <w:rPr>
                <w:rFonts w:ascii="Times New Roman" w:hAnsi="Times New Roman" w:cs="Times New Roman"/>
                <w:sz w:val="24"/>
                <w:szCs w:val="24"/>
              </w:rPr>
              <w:t>Вид потребления коммунального ресурса</w:t>
            </w:r>
          </w:p>
        </w:tc>
        <w:tc>
          <w:tcPr>
            <w:tcW w:w="2600" w:type="dxa"/>
          </w:tcPr>
          <w:p w:rsidR="00E55801" w:rsidRPr="00EC20F8" w:rsidRDefault="00E55801" w:rsidP="00E55801">
            <w:pPr>
              <w:spacing w:line="232" w:lineRule="auto"/>
              <w:contextualSpacing/>
              <w:jc w:val="center"/>
              <w:rPr>
                <w:rFonts w:ascii="Times New Roman" w:hAnsi="Times New Roman" w:cs="Times New Roman"/>
                <w:sz w:val="24"/>
                <w:szCs w:val="24"/>
              </w:rPr>
            </w:pPr>
            <w:r w:rsidRPr="00EC20F8">
              <w:rPr>
                <w:rFonts w:ascii="Times New Roman" w:hAnsi="Times New Roman" w:cs="Times New Roman"/>
                <w:sz w:val="24"/>
                <w:szCs w:val="24"/>
              </w:rPr>
              <w:t xml:space="preserve">Число МКД, </w:t>
            </w:r>
            <w:proofErr w:type="gramStart"/>
            <w:r w:rsidRPr="00EC20F8">
              <w:rPr>
                <w:rFonts w:ascii="Times New Roman" w:hAnsi="Times New Roman" w:cs="Times New Roman"/>
                <w:sz w:val="24"/>
                <w:szCs w:val="24"/>
              </w:rPr>
              <w:t>которые</w:t>
            </w:r>
            <w:proofErr w:type="gramEnd"/>
            <w:r w:rsidRPr="00EC20F8">
              <w:rPr>
                <w:rFonts w:ascii="Times New Roman" w:hAnsi="Times New Roman" w:cs="Times New Roman"/>
                <w:sz w:val="24"/>
                <w:szCs w:val="24"/>
              </w:rPr>
              <w:t xml:space="preserve"> необходимо оснастить приборами учета</w:t>
            </w:r>
          </w:p>
        </w:tc>
        <w:tc>
          <w:tcPr>
            <w:tcW w:w="2835" w:type="dxa"/>
          </w:tcPr>
          <w:p w:rsidR="00E55801" w:rsidRPr="00EC20F8" w:rsidRDefault="00E55801" w:rsidP="00E55801">
            <w:pPr>
              <w:spacing w:line="232" w:lineRule="auto"/>
              <w:contextualSpacing/>
              <w:jc w:val="center"/>
              <w:rPr>
                <w:rFonts w:ascii="Times New Roman" w:hAnsi="Times New Roman" w:cs="Times New Roman"/>
                <w:sz w:val="24"/>
                <w:szCs w:val="24"/>
              </w:rPr>
            </w:pPr>
            <w:r w:rsidRPr="00EC20F8">
              <w:rPr>
                <w:rFonts w:ascii="Times New Roman" w:hAnsi="Times New Roman" w:cs="Times New Roman"/>
                <w:sz w:val="24"/>
                <w:szCs w:val="24"/>
              </w:rPr>
              <w:t xml:space="preserve">Число МКД, фактически </w:t>
            </w:r>
            <w:proofErr w:type="gramStart"/>
            <w:r w:rsidRPr="00EC20F8">
              <w:rPr>
                <w:rFonts w:ascii="Times New Roman" w:hAnsi="Times New Roman" w:cs="Times New Roman"/>
                <w:sz w:val="24"/>
                <w:szCs w:val="24"/>
              </w:rPr>
              <w:t>оснащенных</w:t>
            </w:r>
            <w:proofErr w:type="gramEnd"/>
            <w:r w:rsidRPr="00EC20F8">
              <w:rPr>
                <w:rFonts w:ascii="Times New Roman" w:hAnsi="Times New Roman" w:cs="Times New Roman"/>
                <w:sz w:val="24"/>
                <w:szCs w:val="24"/>
              </w:rPr>
              <w:t xml:space="preserve"> приборами учета</w:t>
            </w:r>
          </w:p>
        </w:tc>
        <w:tc>
          <w:tcPr>
            <w:tcW w:w="1580" w:type="dxa"/>
            <w:vAlign w:val="center"/>
          </w:tcPr>
          <w:p w:rsidR="00E55801" w:rsidRPr="00EC20F8" w:rsidRDefault="00E55801" w:rsidP="00E55801">
            <w:pPr>
              <w:spacing w:line="232" w:lineRule="auto"/>
              <w:contextualSpacing/>
              <w:jc w:val="center"/>
              <w:rPr>
                <w:rFonts w:ascii="Times New Roman" w:hAnsi="Times New Roman" w:cs="Times New Roman"/>
                <w:sz w:val="24"/>
                <w:szCs w:val="24"/>
              </w:rPr>
            </w:pPr>
            <w:r w:rsidRPr="00EC20F8">
              <w:rPr>
                <w:rFonts w:ascii="Times New Roman" w:hAnsi="Times New Roman" w:cs="Times New Roman"/>
                <w:sz w:val="24"/>
                <w:szCs w:val="24"/>
              </w:rPr>
              <w:t>Процент оснащения</w:t>
            </w:r>
          </w:p>
        </w:tc>
      </w:tr>
      <w:tr w:rsidR="00E55801" w:rsidRPr="00EC20F8" w:rsidTr="006C1F50">
        <w:tc>
          <w:tcPr>
            <w:tcW w:w="2470" w:type="dxa"/>
          </w:tcPr>
          <w:p w:rsidR="00E55801" w:rsidRPr="00EC20F8" w:rsidRDefault="00E55801" w:rsidP="00E55801">
            <w:pPr>
              <w:spacing w:line="232" w:lineRule="auto"/>
              <w:contextualSpacing/>
              <w:rPr>
                <w:rFonts w:ascii="Times New Roman" w:hAnsi="Times New Roman" w:cs="Times New Roman"/>
                <w:sz w:val="24"/>
                <w:szCs w:val="24"/>
              </w:rPr>
            </w:pPr>
            <w:r w:rsidRPr="00EC20F8">
              <w:rPr>
                <w:rFonts w:ascii="Times New Roman" w:hAnsi="Times New Roman" w:cs="Times New Roman"/>
                <w:sz w:val="24"/>
                <w:szCs w:val="24"/>
              </w:rPr>
              <w:t>Холодная вода</w:t>
            </w:r>
          </w:p>
        </w:tc>
        <w:tc>
          <w:tcPr>
            <w:tcW w:w="2600" w:type="dxa"/>
            <w:vAlign w:val="center"/>
          </w:tcPr>
          <w:p w:rsidR="00E55801" w:rsidRPr="00EC20F8" w:rsidRDefault="00E55801" w:rsidP="00E55801">
            <w:pPr>
              <w:spacing w:line="232" w:lineRule="auto"/>
              <w:contextualSpacing/>
              <w:jc w:val="center"/>
              <w:rPr>
                <w:rFonts w:ascii="Times New Roman" w:hAnsi="Times New Roman" w:cs="Times New Roman"/>
                <w:sz w:val="24"/>
                <w:szCs w:val="24"/>
              </w:rPr>
            </w:pPr>
            <w:r w:rsidRPr="00EC20F8">
              <w:rPr>
                <w:rFonts w:ascii="Times New Roman" w:hAnsi="Times New Roman" w:cs="Times New Roman"/>
                <w:sz w:val="24"/>
                <w:szCs w:val="24"/>
              </w:rPr>
              <w:t>2380</w:t>
            </w:r>
          </w:p>
        </w:tc>
        <w:tc>
          <w:tcPr>
            <w:tcW w:w="2835" w:type="dxa"/>
            <w:vAlign w:val="center"/>
          </w:tcPr>
          <w:p w:rsidR="00E55801" w:rsidRPr="00EC20F8" w:rsidRDefault="00E55801" w:rsidP="00E55801">
            <w:pPr>
              <w:spacing w:line="232" w:lineRule="auto"/>
              <w:contextualSpacing/>
              <w:jc w:val="center"/>
              <w:rPr>
                <w:rFonts w:ascii="Times New Roman" w:hAnsi="Times New Roman" w:cs="Times New Roman"/>
                <w:sz w:val="24"/>
                <w:szCs w:val="24"/>
              </w:rPr>
            </w:pPr>
            <w:r w:rsidRPr="00EC20F8">
              <w:rPr>
                <w:rFonts w:ascii="Times New Roman" w:hAnsi="Times New Roman" w:cs="Times New Roman"/>
                <w:sz w:val="24"/>
                <w:szCs w:val="24"/>
              </w:rPr>
              <w:t>744</w:t>
            </w:r>
          </w:p>
        </w:tc>
        <w:tc>
          <w:tcPr>
            <w:tcW w:w="1580" w:type="dxa"/>
            <w:vAlign w:val="bottom"/>
          </w:tcPr>
          <w:p w:rsidR="00E55801" w:rsidRPr="00EC20F8" w:rsidRDefault="00E55801" w:rsidP="00E55801">
            <w:pPr>
              <w:spacing w:line="232" w:lineRule="auto"/>
              <w:jc w:val="center"/>
              <w:rPr>
                <w:rFonts w:ascii="Times New Roman" w:hAnsi="Times New Roman" w:cs="Times New Roman"/>
                <w:sz w:val="24"/>
                <w:szCs w:val="24"/>
              </w:rPr>
            </w:pPr>
            <w:r w:rsidRPr="00EC20F8">
              <w:rPr>
                <w:rFonts w:ascii="Times New Roman" w:hAnsi="Times New Roman" w:cs="Times New Roman"/>
                <w:sz w:val="24"/>
                <w:szCs w:val="24"/>
              </w:rPr>
              <w:t>32,15</w:t>
            </w:r>
          </w:p>
        </w:tc>
      </w:tr>
      <w:tr w:rsidR="00E55801" w:rsidRPr="00EC20F8" w:rsidTr="006C1F50">
        <w:tc>
          <w:tcPr>
            <w:tcW w:w="2470" w:type="dxa"/>
          </w:tcPr>
          <w:p w:rsidR="00E55801" w:rsidRPr="00EC20F8" w:rsidRDefault="00E55801" w:rsidP="00E55801">
            <w:pPr>
              <w:spacing w:line="232" w:lineRule="auto"/>
              <w:contextualSpacing/>
              <w:rPr>
                <w:rFonts w:ascii="Times New Roman" w:hAnsi="Times New Roman" w:cs="Times New Roman"/>
                <w:sz w:val="24"/>
                <w:szCs w:val="24"/>
              </w:rPr>
            </w:pPr>
            <w:r w:rsidRPr="00EC20F8">
              <w:rPr>
                <w:rFonts w:ascii="Times New Roman" w:hAnsi="Times New Roman" w:cs="Times New Roman"/>
                <w:sz w:val="24"/>
                <w:szCs w:val="24"/>
              </w:rPr>
              <w:t>Горячая вода</w:t>
            </w:r>
          </w:p>
        </w:tc>
        <w:tc>
          <w:tcPr>
            <w:tcW w:w="2600" w:type="dxa"/>
            <w:vAlign w:val="center"/>
          </w:tcPr>
          <w:p w:rsidR="00E55801" w:rsidRPr="00EC20F8" w:rsidRDefault="00E55801" w:rsidP="00E55801">
            <w:pPr>
              <w:spacing w:line="232" w:lineRule="auto"/>
              <w:contextualSpacing/>
              <w:jc w:val="center"/>
              <w:rPr>
                <w:rFonts w:ascii="Times New Roman" w:hAnsi="Times New Roman" w:cs="Times New Roman"/>
                <w:sz w:val="24"/>
                <w:szCs w:val="24"/>
              </w:rPr>
            </w:pPr>
            <w:r w:rsidRPr="00EC20F8">
              <w:rPr>
                <w:rFonts w:ascii="Times New Roman" w:hAnsi="Times New Roman" w:cs="Times New Roman"/>
                <w:sz w:val="24"/>
                <w:szCs w:val="24"/>
              </w:rPr>
              <w:t>733</w:t>
            </w:r>
          </w:p>
        </w:tc>
        <w:tc>
          <w:tcPr>
            <w:tcW w:w="2835" w:type="dxa"/>
            <w:vAlign w:val="center"/>
          </w:tcPr>
          <w:p w:rsidR="00E55801" w:rsidRPr="00EC20F8" w:rsidRDefault="00E55801" w:rsidP="00E55801">
            <w:pPr>
              <w:spacing w:line="232" w:lineRule="auto"/>
              <w:contextualSpacing/>
              <w:jc w:val="center"/>
              <w:rPr>
                <w:rFonts w:ascii="Times New Roman" w:hAnsi="Times New Roman" w:cs="Times New Roman"/>
                <w:sz w:val="24"/>
                <w:szCs w:val="24"/>
              </w:rPr>
            </w:pPr>
            <w:r w:rsidRPr="00EC20F8">
              <w:rPr>
                <w:rFonts w:ascii="Times New Roman" w:hAnsi="Times New Roman" w:cs="Times New Roman"/>
                <w:sz w:val="24"/>
                <w:szCs w:val="24"/>
              </w:rPr>
              <w:t>336</w:t>
            </w:r>
          </w:p>
        </w:tc>
        <w:tc>
          <w:tcPr>
            <w:tcW w:w="1580" w:type="dxa"/>
            <w:vAlign w:val="bottom"/>
          </w:tcPr>
          <w:p w:rsidR="00E55801" w:rsidRPr="00EC20F8" w:rsidRDefault="00E55801" w:rsidP="00E55801">
            <w:pPr>
              <w:spacing w:line="232" w:lineRule="auto"/>
              <w:jc w:val="center"/>
              <w:rPr>
                <w:rFonts w:ascii="Times New Roman" w:hAnsi="Times New Roman" w:cs="Times New Roman"/>
                <w:sz w:val="24"/>
                <w:szCs w:val="24"/>
              </w:rPr>
            </w:pPr>
            <w:r w:rsidRPr="00EC20F8">
              <w:rPr>
                <w:rFonts w:ascii="Times New Roman" w:hAnsi="Times New Roman" w:cs="Times New Roman"/>
                <w:sz w:val="24"/>
                <w:szCs w:val="24"/>
              </w:rPr>
              <w:t>45,97</w:t>
            </w:r>
          </w:p>
        </w:tc>
      </w:tr>
      <w:tr w:rsidR="00E55801" w:rsidRPr="00EC20F8" w:rsidTr="006C1F50">
        <w:tc>
          <w:tcPr>
            <w:tcW w:w="2470" w:type="dxa"/>
          </w:tcPr>
          <w:p w:rsidR="00E55801" w:rsidRPr="00EC20F8" w:rsidRDefault="00E55801" w:rsidP="00E55801">
            <w:pPr>
              <w:spacing w:line="232" w:lineRule="auto"/>
              <w:contextualSpacing/>
              <w:rPr>
                <w:rFonts w:ascii="Times New Roman" w:hAnsi="Times New Roman" w:cs="Times New Roman"/>
                <w:sz w:val="24"/>
                <w:szCs w:val="24"/>
              </w:rPr>
            </w:pPr>
            <w:r w:rsidRPr="00EC20F8">
              <w:rPr>
                <w:rFonts w:ascii="Times New Roman" w:hAnsi="Times New Roman" w:cs="Times New Roman"/>
                <w:sz w:val="24"/>
                <w:szCs w:val="24"/>
              </w:rPr>
              <w:t>Отопление</w:t>
            </w:r>
          </w:p>
        </w:tc>
        <w:tc>
          <w:tcPr>
            <w:tcW w:w="2600" w:type="dxa"/>
            <w:vAlign w:val="center"/>
          </w:tcPr>
          <w:p w:rsidR="00E55801" w:rsidRPr="00EC20F8" w:rsidRDefault="00E55801" w:rsidP="00E55801">
            <w:pPr>
              <w:spacing w:line="232" w:lineRule="auto"/>
              <w:contextualSpacing/>
              <w:jc w:val="center"/>
              <w:rPr>
                <w:rFonts w:ascii="Times New Roman" w:hAnsi="Times New Roman" w:cs="Times New Roman"/>
                <w:sz w:val="24"/>
                <w:szCs w:val="24"/>
              </w:rPr>
            </w:pPr>
            <w:r w:rsidRPr="00EC20F8">
              <w:rPr>
                <w:rFonts w:ascii="Times New Roman" w:hAnsi="Times New Roman" w:cs="Times New Roman"/>
                <w:sz w:val="24"/>
                <w:szCs w:val="24"/>
              </w:rPr>
              <w:t>1731</w:t>
            </w:r>
          </w:p>
        </w:tc>
        <w:tc>
          <w:tcPr>
            <w:tcW w:w="2835" w:type="dxa"/>
            <w:vAlign w:val="center"/>
          </w:tcPr>
          <w:p w:rsidR="00E55801" w:rsidRPr="00EC20F8" w:rsidRDefault="00E55801" w:rsidP="00E55801">
            <w:pPr>
              <w:spacing w:line="232" w:lineRule="auto"/>
              <w:contextualSpacing/>
              <w:jc w:val="center"/>
              <w:rPr>
                <w:rFonts w:ascii="Times New Roman" w:hAnsi="Times New Roman" w:cs="Times New Roman"/>
                <w:sz w:val="24"/>
                <w:szCs w:val="24"/>
              </w:rPr>
            </w:pPr>
            <w:r w:rsidRPr="00EC20F8">
              <w:rPr>
                <w:rFonts w:ascii="Times New Roman" w:hAnsi="Times New Roman" w:cs="Times New Roman"/>
                <w:sz w:val="24"/>
                <w:szCs w:val="24"/>
              </w:rPr>
              <w:t>1004</w:t>
            </w:r>
          </w:p>
        </w:tc>
        <w:tc>
          <w:tcPr>
            <w:tcW w:w="1580" w:type="dxa"/>
            <w:vAlign w:val="bottom"/>
          </w:tcPr>
          <w:p w:rsidR="00E55801" w:rsidRPr="00EC20F8" w:rsidRDefault="00E55801" w:rsidP="00E55801">
            <w:pPr>
              <w:spacing w:line="232" w:lineRule="auto"/>
              <w:jc w:val="center"/>
              <w:rPr>
                <w:rFonts w:ascii="Times New Roman" w:hAnsi="Times New Roman" w:cs="Times New Roman"/>
                <w:sz w:val="24"/>
                <w:szCs w:val="24"/>
              </w:rPr>
            </w:pPr>
            <w:r w:rsidRPr="00EC20F8">
              <w:rPr>
                <w:rFonts w:ascii="Times New Roman" w:hAnsi="Times New Roman" w:cs="Times New Roman"/>
                <w:sz w:val="24"/>
                <w:szCs w:val="24"/>
              </w:rPr>
              <w:t>55,99</w:t>
            </w:r>
          </w:p>
        </w:tc>
      </w:tr>
      <w:tr w:rsidR="00E55801" w:rsidRPr="00EC20F8" w:rsidTr="006C1F50">
        <w:tc>
          <w:tcPr>
            <w:tcW w:w="2470" w:type="dxa"/>
          </w:tcPr>
          <w:p w:rsidR="00E55801" w:rsidRPr="00EC20F8" w:rsidRDefault="00E55801" w:rsidP="00E55801">
            <w:pPr>
              <w:spacing w:line="232" w:lineRule="auto"/>
              <w:contextualSpacing/>
              <w:rPr>
                <w:rFonts w:ascii="Times New Roman" w:hAnsi="Times New Roman" w:cs="Times New Roman"/>
                <w:sz w:val="24"/>
                <w:szCs w:val="24"/>
              </w:rPr>
            </w:pPr>
            <w:r w:rsidRPr="00EC20F8">
              <w:rPr>
                <w:rFonts w:ascii="Times New Roman" w:hAnsi="Times New Roman" w:cs="Times New Roman"/>
                <w:sz w:val="24"/>
                <w:szCs w:val="24"/>
              </w:rPr>
              <w:t>Эл</w:t>
            </w:r>
            <w:proofErr w:type="gramStart"/>
            <w:r w:rsidRPr="00EC20F8">
              <w:rPr>
                <w:rFonts w:ascii="Times New Roman" w:hAnsi="Times New Roman" w:cs="Times New Roman"/>
                <w:sz w:val="24"/>
                <w:szCs w:val="24"/>
              </w:rPr>
              <w:t>.</w:t>
            </w:r>
            <w:proofErr w:type="gramEnd"/>
            <w:r w:rsidRPr="00EC20F8">
              <w:rPr>
                <w:rFonts w:ascii="Times New Roman" w:hAnsi="Times New Roman" w:cs="Times New Roman"/>
                <w:sz w:val="24"/>
                <w:szCs w:val="24"/>
              </w:rPr>
              <w:t xml:space="preserve"> </w:t>
            </w:r>
            <w:proofErr w:type="gramStart"/>
            <w:r w:rsidRPr="00EC20F8">
              <w:rPr>
                <w:rFonts w:ascii="Times New Roman" w:hAnsi="Times New Roman" w:cs="Times New Roman"/>
                <w:sz w:val="24"/>
                <w:szCs w:val="24"/>
              </w:rPr>
              <w:t>э</w:t>
            </w:r>
            <w:proofErr w:type="gramEnd"/>
            <w:r w:rsidRPr="00EC20F8">
              <w:rPr>
                <w:rFonts w:ascii="Times New Roman" w:hAnsi="Times New Roman" w:cs="Times New Roman"/>
                <w:sz w:val="24"/>
                <w:szCs w:val="24"/>
              </w:rPr>
              <w:t>нергия</w:t>
            </w:r>
          </w:p>
        </w:tc>
        <w:tc>
          <w:tcPr>
            <w:tcW w:w="2600" w:type="dxa"/>
            <w:vAlign w:val="center"/>
          </w:tcPr>
          <w:p w:rsidR="00E55801" w:rsidRPr="00EC20F8" w:rsidRDefault="00E55801" w:rsidP="00E55801">
            <w:pPr>
              <w:spacing w:line="232" w:lineRule="auto"/>
              <w:contextualSpacing/>
              <w:jc w:val="center"/>
              <w:rPr>
                <w:rFonts w:ascii="Times New Roman" w:hAnsi="Times New Roman" w:cs="Times New Roman"/>
                <w:sz w:val="24"/>
                <w:szCs w:val="24"/>
              </w:rPr>
            </w:pPr>
            <w:r w:rsidRPr="00EC20F8">
              <w:rPr>
                <w:rFonts w:ascii="Times New Roman" w:hAnsi="Times New Roman" w:cs="Times New Roman"/>
                <w:sz w:val="24"/>
                <w:szCs w:val="24"/>
              </w:rPr>
              <w:t>2394</w:t>
            </w:r>
          </w:p>
        </w:tc>
        <w:tc>
          <w:tcPr>
            <w:tcW w:w="2835" w:type="dxa"/>
            <w:vAlign w:val="center"/>
          </w:tcPr>
          <w:p w:rsidR="00E55801" w:rsidRPr="00EC20F8" w:rsidRDefault="00E55801" w:rsidP="00E55801">
            <w:pPr>
              <w:spacing w:line="232" w:lineRule="auto"/>
              <w:contextualSpacing/>
              <w:jc w:val="center"/>
              <w:rPr>
                <w:rFonts w:ascii="Times New Roman" w:hAnsi="Times New Roman" w:cs="Times New Roman"/>
                <w:sz w:val="24"/>
                <w:szCs w:val="24"/>
              </w:rPr>
            </w:pPr>
            <w:r w:rsidRPr="00EC20F8">
              <w:rPr>
                <w:rFonts w:ascii="Times New Roman" w:hAnsi="Times New Roman" w:cs="Times New Roman"/>
                <w:sz w:val="24"/>
                <w:szCs w:val="24"/>
              </w:rPr>
              <w:t>1476</w:t>
            </w:r>
          </w:p>
        </w:tc>
        <w:tc>
          <w:tcPr>
            <w:tcW w:w="1580" w:type="dxa"/>
            <w:vAlign w:val="bottom"/>
          </w:tcPr>
          <w:p w:rsidR="00E55801" w:rsidRPr="00EC20F8" w:rsidRDefault="00E55801" w:rsidP="00E55801">
            <w:pPr>
              <w:spacing w:line="232" w:lineRule="auto"/>
              <w:jc w:val="center"/>
              <w:rPr>
                <w:rFonts w:ascii="Times New Roman" w:hAnsi="Times New Roman" w:cs="Times New Roman"/>
                <w:sz w:val="24"/>
                <w:szCs w:val="24"/>
              </w:rPr>
            </w:pPr>
            <w:r w:rsidRPr="00EC20F8">
              <w:rPr>
                <w:rFonts w:ascii="Times New Roman" w:hAnsi="Times New Roman" w:cs="Times New Roman"/>
                <w:sz w:val="24"/>
                <w:szCs w:val="24"/>
              </w:rPr>
              <w:t>63,36</w:t>
            </w:r>
          </w:p>
        </w:tc>
      </w:tr>
    </w:tbl>
    <w:p w:rsidR="00E55801" w:rsidRPr="00EC20F8" w:rsidRDefault="00E55801" w:rsidP="00E55801">
      <w:pPr>
        <w:autoSpaceDE w:val="0"/>
        <w:autoSpaceDN w:val="0"/>
        <w:adjustRightInd w:val="0"/>
        <w:spacing w:line="240" w:lineRule="auto"/>
        <w:ind w:firstLine="540"/>
        <w:contextualSpacing/>
        <w:jc w:val="both"/>
        <w:rPr>
          <w:rFonts w:ascii="Times New Roman" w:eastAsia="Calibri" w:hAnsi="Times New Roman" w:cs="Times New Roman"/>
          <w:sz w:val="12"/>
          <w:szCs w:val="12"/>
        </w:rPr>
      </w:pPr>
    </w:p>
    <w:p w:rsidR="00E55801" w:rsidRPr="00EC20F8" w:rsidRDefault="00E55801" w:rsidP="00E55801">
      <w:pPr>
        <w:spacing w:line="240" w:lineRule="auto"/>
        <w:ind w:firstLine="709"/>
        <w:contextualSpacing/>
        <w:jc w:val="both"/>
        <w:rPr>
          <w:rFonts w:ascii="Times New Roman" w:hAnsi="Times New Roman" w:cs="Times New Roman"/>
          <w:sz w:val="28"/>
          <w:szCs w:val="28"/>
        </w:rPr>
      </w:pPr>
      <w:r w:rsidRPr="00EC20F8">
        <w:rPr>
          <w:rFonts w:ascii="Times New Roman" w:hAnsi="Times New Roman" w:cs="Times New Roman"/>
          <w:sz w:val="28"/>
          <w:szCs w:val="28"/>
        </w:rPr>
        <w:t xml:space="preserve">Доля потребления энергоресурсов для многоквартирных домов, расчеты за которые производились по коллективным приборам учета, от общего потребления энергоресурсов с каждым годом увеличивается, а удельная величина потребления уменьшается (табл. </w:t>
      </w:r>
      <w:r w:rsidR="00C606D1" w:rsidRPr="00EC20F8">
        <w:rPr>
          <w:rFonts w:ascii="Times New Roman" w:hAnsi="Times New Roman" w:cs="Times New Roman"/>
          <w:sz w:val="28"/>
          <w:szCs w:val="28"/>
        </w:rPr>
        <w:t>19.1.</w:t>
      </w:r>
      <w:r w:rsidRPr="00EC20F8">
        <w:rPr>
          <w:rFonts w:ascii="Times New Roman" w:hAnsi="Times New Roman" w:cs="Times New Roman"/>
          <w:sz w:val="28"/>
          <w:szCs w:val="28"/>
        </w:rPr>
        <w:t>4</w:t>
      </w:r>
      <w:r w:rsidR="00C606D1" w:rsidRPr="00EC20F8">
        <w:rPr>
          <w:rFonts w:ascii="Times New Roman" w:hAnsi="Times New Roman" w:cs="Times New Roman"/>
          <w:sz w:val="28"/>
          <w:szCs w:val="28"/>
        </w:rPr>
        <w:t>.</w:t>
      </w:r>
      <w:r w:rsidRPr="00EC20F8">
        <w:rPr>
          <w:rFonts w:ascii="Times New Roman" w:hAnsi="Times New Roman" w:cs="Times New Roman"/>
          <w:sz w:val="28"/>
          <w:szCs w:val="28"/>
        </w:rPr>
        <w:t xml:space="preserve"> и табл. </w:t>
      </w:r>
      <w:r w:rsidR="00C606D1" w:rsidRPr="00EC20F8">
        <w:rPr>
          <w:rFonts w:ascii="Times New Roman" w:hAnsi="Times New Roman" w:cs="Times New Roman"/>
          <w:sz w:val="28"/>
          <w:szCs w:val="28"/>
        </w:rPr>
        <w:t>19.1.</w:t>
      </w:r>
      <w:r w:rsidRPr="00EC20F8">
        <w:rPr>
          <w:rFonts w:ascii="Times New Roman" w:hAnsi="Times New Roman" w:cs="Times New Roman"/>
          <w:sz w:val="28"/>
          <w:szCs w:val="28"/>
        </w:rPr>
        <w:t>5</w:t>
      </w:r>
      <w:r w:rsidR="00C606D1" w:rsidRPr="00EC20F8">
        <w:rPr>
          <w:rFonts w:ascii="Times New Roman" w:hAnsi="Times New Roman" w:cs="Times New Roman"/>
          <w:sz w:val="28"/>
          <w:szCs w:val="28"/>
        </w:rPr>
        <w:t>.</w:t>
      </w:r>
      <w:r w:rsidRPr="00EC20F8">
        <w:rPr>
          <w:rFonts w:ascii="Times New Roman" w:hAnsi="Times New Roman" w:cs="Times New Roman"/>
          <w:sz w:val="28"/>
          <w:szCs w:val="28"/>
        </w:rPr>
        <w:t>).</w:t>
      </w:r>
    </w:p>
    <w:p w:rsidR="00E55801" w:rsidRPr="00EC20F8" w:rsidRDefault="00E55801" w:rsidP="00E55801">
      <w:pPr>
        <w:spacing w:line="240" w:lineRule="auto"/>
        <w:contextualSpacing/>
        <w:jc w:val="center"/>
        <w:rPr>
          <w:rFonts w:ascii="Times New Roman" w:hAnsi="Times New Roman" w:cs="Times New Roman"/>
          <w:sz w:val="24"/>
          <w:szCs w:val="24"/>
        </w:rPr>
      </w:pPr>
    </w:p>
    <w:p w:rsidR="00E55801" w:rsidRPr="00EC20F8" w:rsidRDefault="00E55801" w:rsidP="00E55801">
      <w:pPr>
        <w:spacing w:line="240" w:lineRule="auto"/>
        <w:contextualSpacing/>
        <w:jc w:val="center"/>
        <w:rPr>
          <w:rFonts w:ascii="Times New Roman" w:hAnsi="Times New Roman" w:cs="Times New Roman"/>
          <w:sz w:val="24"/>
          <w:szCs w:val="24"/>
        </w:rPr>
      </w:pPr>
      <w:r w:rsidRPr="00EC20F8">
        <w:rPr>
          <w:rFonts w:ascii="Times New Roman" w:hAnsi="Times New Roman" w:cs="Times New Roman"/>
          <w:sz w:val="24"/>
          <w:szCs w:val="24"/>
        </w:rPr>
        <w:t xml:space="preserve">Доля потребления энергоресурсов для многоквартирных домов, расчеты за которые производились по коллективным приборам учета, от общего потребления энергоресурсов </w:t>
      </w:r>
    </w:p>
    <w:p w:rsidR="00E55801" w:rsidRPr="00EC20F8" w:rsidRDefault="00E55801" w:rsidP="00E55801">
      <w:pPr>
        <w:spacing w:line="240" w:lineRule="auto"/>
        <w:contextualSpacing/>
        <w:jc w:val="center"/>
        <w:rPr>
          <w:rFonts w:ascii="Times New Roman" w:hAnsi="Times New Roman" w:cs="Times New Roman"/>
          <w:sz w:val="24"/>
          <w:szCs w:val="24"/>
        </w:rPr>
      </w:pPr>
      <w:r w:rsidRPr="00EC20F8">
        <w:rPr>
          <w:rFonts w:ascii="Times New Roman" w:hAnsi="Times New Roman" w:cs="Times New Roman"/>
          <w:sz w:val="24"/>
          <w:szCs w:val="24"/>
        </w:rPr>
        <w:t>за 2009 – первое полугодие 2014 года</w:t>
      </w:r>
    </w:p>
    <w:p w:rsidR="00E55801" w:rsidRPr="00EC20F8" w:rsidRDefault="00E55801" w:rsidP="00E55801">
      <w:pPr>
        <w:spacing w:line="240" w:lineRule="auto"/>
        <w:contextualSpacing/>
        <w:jc w:val="right"/>
        <w:rPr>
          <w:rFonts w:ascii="Times New Roman" w:hAnsi="Times New Roman" w:cs="Times New Roman"/>
          <w:i/>
          <w:sz w:val="24"/>
          <w:szCs w:val="24"/>
        </w:rPr>
      </w:pPr>
      <w:r w:rsidRPr="00EC20F8">
        <w:rPr>
          <w:rFonts w:ascii="Times New Roman" w:hAnsi="Times New Roman" w:cs="Times New Roman"/>
          <w:i/>
          <w:sz w:val="24"/>
          <w:szCs w:val="24"/>
        </w:rPr>
        <w:t xml:space="preserve">Таблица </w:t>
      </w:r>
      <w:r w:rsidR="00C606D1" w:rsidRPr="00EC20F8">
        <w:rPr>
          <w:rFonts w:ascii="Times New Roman" w:hAnsi="Times New Roman" w:cs="Times New Roman"/>
          <w:i/>
          <w:sz w:val="24"/>
          <w:szCs w:val="24"/>
        </w:rPr>
        <w:t>19.1.</w:t>
      </w:r>
      <w:r w:rsidRPr="00EC20F8">
        <w:rPr>
          <w:rFonts w:ascii="Times New Roman" w:hAnsi="Times New Roman" w:cs="Times New Roman"/>
          <w:i/>
          <w:sz w:val="24"/>
          <w:szCs w:val="24"/>
        </w:rPr>
        <w:t>4.</w:t>
      </w:r>
    </w:p>
    <w:tbl>
      <w:tblPr>
        <w:tblW w:w="9371" w:type="dxa"/>
        <w:tblInd w:w="93" w:type="dxa"/>
        <w:tblLook w:val="04A0"/>
      </w:tblPr>
      <w:tblGrid>
        <w:gridCol w:w="2850"/>
        <w:gridCol w:w="851"/>
        <w:gridCol w:w="992"/>
        <w:gridCol w:w="992"/>
        <w:gridCol w:w="992"/>
        <w:gridCol w:w="960"/>
        <w:gridCol w:w="883"/>
        <w:gridCol w:w="851"/>
      </w:tblGrid>
      <w:tr w:rsidR="00E55801" w:rsidRPr="00EC20F8" w:rsidTr="006C1F50">
        <w:trPr>
          <w:trHeight w:val="300"/>
        </w:trPr>
        <w:tc>
          <w:tcPr>
            <w:tcW w:w="2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Наименование ресурса</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 xml:space="preserve">Ед. </w:t>
            </w:r>
            <w:proofErr w:type="spellStart"/>
            <w:r w:rsidRPr="00EC20F8">
              <w:rPr>
                <w:rFonts w:ascii="Times New Roman" w:eastAsia="Times New Roman" w:hAnsi="Times New Roman" w:cs="Times New Roman"/>
                <w:sz w:val="24"/>
                <w:szCs w:val="24"/>
                <w:lang w:eastAsia="ru-RU"/>
              </w:rPr>
              <w:t>изм</w:t>
            </w:r>
            <w:proofErr w:type="spellEnd"/>
            <w:r w:rsidRPr="00EC20F8">
              <w:rPr>
                <w:rFonts w:ascii="Times New Roman" w:eastAsia="Times New Roman" w:hAnsi="Times New Roman" w:cs="Times New Roman"/>
                <w:sz w:val="24"/>
                <w:szCs w:val="24"/>
                <w:lang w:eastAsia="ru-RU"/>
              </w:rPr>
              <w:t>.</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2009 год</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2010 год</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2011 год</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2012 год</w:t>
            </w:r>
          </w:p>
        </w:tc>
        <w:tc>
          <w:tcPr>
            <w:tcW w:w="883" w:type="dxa"/>
            <w:tcBorders>
              <w:top w:val="single" w:sz="4" w:space="0" w:color="auto"/>
              <w:left w:val="nil"/>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2013</w:t>
            </w:r>
          </w:p>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 xml:space="preserve"> год</w:t>
            </w:r>
          </w:p>
        </w:tc>
        <w:tc>
          <w:tcPr>
            <w:tcW w:w="851" w:type="dxa"/>
            <w:tcBorders>
              <w:top w:val="single" w:sz="4" w:space="0" w:color="auto"/>
              <w:left w:val="nil"/>
              <w:bottom w:val="single" w:sz="4" w:space="0" w:color="auto"/>
              <w:right w:val="single" w:sz="4" w:space="0" w:color="auto"/>
            </w:tcBorders>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½</w:t>
            </w:r>
          </w:p>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2014</w:t>
            </w:r>
          </w:p>
        </w:tc>
      </w:tr>
      <w:tr w:rsidR="00E55801" w:rsidRPr="00EC20F8" w:rsidTr="006C1F50">
        <w:trPr>
          <w:trHeight w:val="300"/>
        </w:trPr>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 xml:space="preserve">Доля потребления </w:t>
            </w:r>
            <w:proofErr w:type="spellStart"/>
            <w:r w:rsidRPr="00EC20F8">
              <w:rPr>
                <w:rFonts w:ascii="Times New Roman" w:eastAsia="Times New Roman" w:hAnsi="Times New Roman" w:cs="Times New Roman"/>
                <w:sz w:val="24"/>
                <w:szCs w:val="24"/>
                <w:lang w:eastAsia="ru-RU"/>
              </w:rPr>
              <w:t>эл</w:t>
            </w:r>
            <w:proofErr w:type="spellEnd"/>
            <w:r w:rsidRPr="00EC20F8">
              <w:rPr>
                <w:rFonts w:ascii="Times New Roman" w:eastAsia="Times New Roman" w:hAnsi="Times New Roman" w:cs="Times New Roman"/>
                <w:sz w:val="24"/>
                <w:szCs w:val="24"/>
                <w:lang w:eastAsia="ru-RU"/>
              </w:rPr>
              <w:t>. энергии</w:t>
            </w:r>
          </w:p>
        </w:tc>
        <w:tc>
          <w:tcPr>
            <w:tcW w:w="851" w:type="dxa"/>
            <w:tcBorders>
              <w:top w:val="nil"/>
              <w:left w:val="nil"/>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w:t>
            </w:r>
          </w:p>
        </w:tc>
        <w:tc>
          <w:tcPr>
            <w:tcW w:w="992" w:type="dxa"/>
            <w:tcBorders>
              <w:top w:val="nil"/>
              <w:left w:val="nil"/>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10,3</w:t>
            </w:r>
          </w:p>
        </w:tc>
        <w:tc>
          <w:tcPr>
            <w:tcW w:w="992" w:type="dxa"/>
            <w:tcBorders>
              <w:top w:val="nil"/>
              <w:left w:val="nil"/>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13</w:t>
            </w:r>
          </w:p>
        </w:tc>
        <w:tc>
          <w:tcPr>
            <w:tcW w:w="992" w:type="dxa"/>
            <w:tcBorders>
              <w:top w:val="nil"/>
              <w:left w:val="nil"/>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32</w:t>
            </w:r>
          </w:p>
        </w:tc>
        <w:tc>
          <w:tcPr>
            <w:tcW w:w="960" w:type="dxa"/>
            <w:tcBorders>
              <w:top w:val="nil"/>
              <w:left w:val="nil"/>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61</w:t>
            </w:r>
          </w:p>
        </w:tc>
        <w:tc>
          <w:tcPr>
            <w:tcW w:w="883" w:type="dxa"/>
            <w:tcBorders>
              <w:top w:val="nil"/>
              <w:left w:val="nil"/>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77</w:t>
            </w:r>
          </w:p>
        </w:tc>
        <w:tc>
          <w:tcPr>
            <w:tcW w:w="851" w:type="dxa"/>
            <w:tcBorders>
              <w:top w:val="nil"/>
              <w:left w:val="nil"/>
              <w:bottom w:val="single" w:sz="4" w:space="0" w:color="auto"/>
              <w:right w:val="single" w:sz="4" w:space="0" w:color="auto"/>
            </w:tcBorders>
            <w:vAlign w:val="center"/>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78,8</w:t>
            </w:r>
          </w:p>
        </w:tc>
      </w:tr>
      <w:tr w:rsidR="00E55801" w:rsidRPr="00EC20F8" w:rsidTr="006C1F50">
        <w:trPr>
          <w:trHeight w:val="300"/>
        </w:trPr>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Доля потребления тепловой энергии</w:t>
            </w:r>
          </w:p>
        </w:tc>
        <w:tc>
          <w:tcPr>
            <w:tcW w:w="851" w:type="dxa"/>
            <w:tcBorders>
              <w:top w:val="nil"/>
              <w:left w:val="nil"/>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Информация отсутствует</w:t>
            </w:r>
          </w:p>
        </w:tc>
        <w:tc>
          <w:tcPr>
            <w:tcW w:w="992" w:type="dxa"/>
            <w:tcBorders>
              <w:top w:val="nil"/>
              <w:left w:val="nil"/>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34</w:t>
            </w:r>
          </w:p>
        </w:tc>
        <w:tc>
          <w:tcPr>
            <w:tcW w:w="960" w:type="dxa"/>
            <w:tcBorders>
              <w:top w:val="nil"/>
              <w:left w:val="nil"/>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41</w:t>
            </w:r>
          </w:p>
        </w:tc>
        <w:tc>
          <w:tcPr>
            <w:tcW w:w="883" w:type="dxa"/>
            <w:tcBorders>
              <w:top w:val="nil"/>
              <w:left w:val="nil"/>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41</w:t>
            </w:r>
          </w:p>
        </w:tc>
        <w:tc>
          <w:tcPr>
            <w:tcW w:w="851" w:type="dxa"/>
            <w:tcBorders>
              <w:top w:val="nil"/>
              <w:left w:val="nil"/>
              <w:bottom w:val="single" w:sz="4" w:space="0" w:color="auto"/>
              <w:right w:val="single" w:sz="4" w:space="0" w:color="auto"/>
            </w:tcBorders>
            <w:vAlign w:val="center"/>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68,5</w:t>
            </w:r>
          </w:p>
        </w:tc>
      </w:tr>
      <w:tr w:rsidR="00E55801" w:rsidRPr="00EC20F8" w:rsidTr="006C1F50">
        <w:trPr>
          <w:trHeight w:val="300"/>
        </w:trPr>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 xml:space="preserve">Доля потребления </w:t>
            </w:r>
          </w:p>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воды</w:t>
            </w:r>
          </w:p>
        </w:tc>
        <w:tc>
          <w:tcPr>
            <w:tcW w:w="851" w:type="dxa"/>
            <w:tcBorders>
              <w:top w:val="nil"/>
              <w:left w:val="nil"/>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w:t>
            </w:r>
          </w:p>
        </w:tc>
        <w:tc>
          <w:tcPr>
            <w:tcW w:w="992" w:type="dxa"/>
            <w:tcBorders>
              <w:top w:val="nil"/>
              <w:left w:val="nil"/>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7</w:t>
            </w:r>
          </w:p>
        </w:tc>
        <w:tc>
          <w:tcPr>
            <w:tcW w:w="992" w:type="dxa"/>
            <w:tcBorders>
              <w:top w:val="nil"/>
              <w:left w:val="nil"/>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8</w:t>
            </w:r>
          </w:p>
        </w:tc>
        <w:tc>
          <w:tcPr>
            <w:tcW w:w="992" w:type="dxa"/>
            <w:tcBorders>
              <w:top w:val="nil"/>
              <w:left w:val="nil"/>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14</w:t>
            </w:r>
          </w:p>
        </w:tc>
        <w:tc>
          <w:tcPr>
            <w:tcW w:w="960" w:type="dxa"/>
            <w:tcBorders>
              <w:top w:val="nil"/>
              <w:left w:val="nil"/>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28</w:t>
            </w:r>
          </w:p>
        </w:tc>
        <w:tc>
          <w:tcPr>
            <w:tcW w:w="883" w:type="dxa"/>
            <w:tcBorders>
              <w:top w:val="nil"/>
              <w:left w:val="nil"/>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48</w:t>
            </w:r>
          </w:p>
        </w:tc>
        <w:tc>
          <w:tcPr>
            <w:tcW w:w="851" w:type="dxa"/>
            <w:tcBorders>
              <w:top w:val="nil"/>
              <w:left w:val="nil"/>
              <w:bottom w:val="single" w:sz="4" w:space="0" w:color="auto"/>
              <w:right w:val="single" w:sz="4" w:space="0" w:color="auto"/>
            </w:tcBorders>
            <w:vAlign w:val="center"/>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52,4</w:t>
            </w:r>
          </w:p>
        </w:tc>
      </w:tr>
    </w:tbl>
    <w:p w:rsidR="00C606D1" w:rsidRPr="00EC20F8" w:rsidRDefault="00C606D1" w:rsidP="00E55801">
      <w:pPr>
        <w:spacing w:line="240" w:lineRule="auto"/>
        <w:contextualSpacing/>
        <w:jc w:val="center"/>
        <w:rPr>
          <w:rFonts w:ascii="Times New Roman" w:hAnsi="Times New Roman" w:cs="Times New Roman"/>
          <w:i/>
          <w:sz w:val="24"/>
          <w:szCs w:val="24"/>
        </w:rPr>
      </w:pPr>
    </w:p>
    <w:p w:rsidR="00E55801" w:rsidRPr="00EC20F8" w:rsidRDefault="00E55801" w:rsidP="00E55801">
      <w:pPr>
        <w:spacing w:line="240" w:lineRule="auto"/>
        <w:contextualSpacing/>
        <w:jc w:val="center"/>
        <w:rPr>
          <w:rFonts w:ascii="Times New Roman" w:hAnsi="Times New Roman" w:cs="Times New Roman"/>
          <w:i/>
          <w:sz w:val="24"/>
          <w:szCs w:val="24"/>
        </w:rPr>
      </w:pPr>
      <w:r w:rsidRPr="00EC20F8">
        <w:rPr>
          <w:rFonts w:ascii="Times New Roman" w:hAnsi="Times New Roman" w:cs="Times New Roman"/>
          <w:sz w:val="24"/>
          <w:szCs w:val="24"/>
        </w:rPr>
        <w:t>Величина удельного потребления коммунальных ресурсов по</w:t>
      </w:r>
      <w:r w:rsidR="00C606D1" w:rsidRPr="00EC20F8">
        <w:rPr>
          <w:rFonts w:ascii="Times New Roman" w:hAnsi="Times New Roman" w:cs="Times New Roman"/>
          <w:sz w:val="24"/>
          <w:szCs w:val="24"/>
        </w:rPr>
        <w:t xml:space="preserve"> </w:t>
      </w:r>
      <w:r w:rsidRPr="00EC20F8">
        <w:rPr>
          <w:rFonts w:ascii="Times New Roman" w:hAnsi="Times New Roman" w:cs="Times New Roman"/>
          <w:sz w:val="24"/>
          <w:szCs w:val="24"/>
        </w:rPr>
        <w:t>муниципальному жилому фонду за 2009-2013 годы</w:t>
      </w:r>
    </w:p>
    <w:p w:rsidR="00E55801" w:rsidRPr="00EC20F8" w:rsidRDefault="00E55801" w:rsidP="00E55801">
      <w:pPr>
        <w:spacing w:line="240" w:lineRule="auto"/>
        <w:contextualSpacing/>
        <w:jc w:val="right"/>
        <w:rPr>
          <w:rFonts w:ascii="Times New Roman" w:hAnsi="Times New Roman" w:cs="Times New Roman"/>
          <w:i/>
          <w:sz w:val="24"/>
          <w:szCs w:val="24"/>
        </w:rPr>
      </w:pPr>
      <w:r w:rsidRPr="00EC20F8">
        <w:rPr>
          <w:rFonts w:ascii="Times New Roman" w:hAnsi="Times New Roman" w:cs="Times New Roman"/>
          <w:i/>
          <w:sz w:val="24"/>
          <w:szCs w:val="24"/>
        </w:rPr>
        <w:t xml:space="preserve">Таблица </w:t>
      </w:r>
      <w:r w:rsidR="00C606D1" w:rsidRPr="00EC20F8">
        <w:rPr>
          <w:rFonts w:ascii="Times New Roman" w:hAnsi="Times New Roman" w:cs="Times New Roman"/>
          <w:i/>
          <w:sz w:val="24"/>
          <w:szCs w:val="24"/>
        </w:rPr>
        <w:t>19.1.</w:t>
      </w:r>
      <w:r w:rsidRPr="00EC20F8">
        <w:rPr>
          <w:rFonts w:ascii="Times New Roman" w:hAnsi="Times New Roman" w:cs="Times New Roman"/>
          <w:i/>
          <w:sz w:val="24"/>
          <w:szCs w:val="24"/>
        </w:rPr>
        <w:t>5.</w:t>
      </w:r>
    </w:p>
    <w:tbl>
      <w:tblPr>
        <w:tblW w:w="9510" w:type="dxa"/>
        <w:tblInd w:w="93" w:type="dxa"/>
        <w:tblLook w:val="04A0"/>
      </w:tblPr>
      <w:tblGrid>
        <w:gridCol w:w="2709"/>
        <w:gridCol w:w="1664"/>
        <w:gridCol w:w="1482"/>
        <w:gridCol w:w="1200"/>
        <w:gridCol w:w="1175"/>
        <w:gridCol w:w="1280"/>
      </w:tblGrid>
      <w:tr w:rsidR="00E55801" w:rsidRPr="00EC20F8" w:rsidTr="006C1F50">
        <w:trPr>
          <w:trHeight w:val="300"/>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Наименование ресурса</w:t>
            </w:r>
          </w:p>
        </w:tc>
        <w:tc>
          <w:tcPr>
            <w:tcW w:w="1664" w:type="dxa"/>
            <w:tcBorders>
              <w:top w:val="single" w:sz="4" w:space="0" w:color="auto"/>
              <w:left w:val="nil"/>
              <w:bottom w:val="single" w:sz="4" w:space="0" w:color="auto"/>
              <w:right w:val="single" w:sz="4" w:space="0" w:color="auto"/>
            </w:tcBorders>
            <w:shd w:val="clear" w:color="auto" w:fill="auto"/>
            <w:noWrap/>
            <w:vAlign w:val="bottom"/>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 xml:space="preserve">Ед. </w:t>
            </w:r>
            <w:proofErr w:type="spellStart"/>
            <w:r w:rsidRPr="00EC20F8">
              <w:rPr>
                <w:rFonts w:ascii="Times New Roman" w:eastAsia="Times New Roman" w:hAnsi="Times New Roman" w:cs="Times New Roman"/>
                <w:sz w:val="24"/>
                <w:szCs w:val="24"/>
                <w:lang w:eastAsia="ru-RU"/>
              </w:rPr>
              <w:t>изм</w:t>
            </w:r>
            <w:proofErr w:type="spellEnd"/>
            <w:r w:rsidRPr="00EC20F8">
              <w:rPr>
                <w:rFonts w:ascii="Times New Roman" w:eastAsia="Times New Roman" w:hAnsi="Times New Roman" w:cs="Times New Roman"/>
                <w:sz w:val="24"/>
                <w:szCs w:val="24"/>
                <w:lang w:eastAsia="ru-RU"/>
              </w:rPr>
              <w:t>.</w:t>
            </w:r>
          </w:p>
        </w:tc>
        <w:tc>
          <w:tcPr>
            <w:tcW w:w="1482" w:type="dxa"/>
            <w:tcBorders>
              <w:top w:val="single" w:sz="4" w:space="0" w:color="auto"/>
              <w:left w:val="nil"/>
              <w:bottom w:val="single" w:sz="4" w:space="0" w:color="auto"/>
              <w:right w:val="single" w:sz="4" w:space="0" w:color="auto"/>
            </w:tcBorders>
            <w:shd w:val="clear" w:color="auto" w:fill="auto"/>
            <w:noWrap/>
            <w:vAlign w:val="bottom"/>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2010 год</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2011 год</w:t>
            </w:r>
          </w:p>
        </w:tc>
        <w:tc>
          <w:tcPr>
            <w:tcW w:w="1175" w:type="dxa"/>
            <w:tcBorders>
              <w:top w:val="single" w:sz="4" w:space="0" w:color="auto"/>
              <w:left w:val="nil"/>
              <w:bottom w:val="single" w:sz="4" w:space="0" w:color="auto"/>
              <w:right w:val="single" w:sz="4" w:space="0" w:color="auto"/>
            </w:tcBorders>
            <w:vAlign w:val="bottom"/>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2012 год</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2013 год</w:t>
            </w:r>
          </w:p>
        </w:tc>
      </w:tr>
      <w:tr w:rsidR="00E55801" w:rsidRPr="00EC20F8" w:rsidTr="006C1F50">
        <w:trPr>
          <w:trHeight w:val="495"/>
        </w:trPr>
        <w:tc>
          <w:tcPr>
            <w:tcW w:w="2709" w:type="dxa"/>
            <w:tcBorders>
              <w:top w:val="nil"/>
              <w:left w:val="single" w:sz="4" w:space="0" w:color="auto"/>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Тепловая энергия</w:t>
            </w:r>
          </w:p>
        </w:tc>
        <w:tc>
          <w:tcPr>
            <w:tcW w:w="1664" w:type="dxa"/>
            <w:tcBorders>
              <w:top w:val="nil"/>
              <w:left w:val="nil"/>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Гкал/</w:t>
            </w:r>
            <w:proofErr w:type="gramStart"/>
            <w:r w:rsidRPr="00EC20F8">
              <w:rPr>
                <w:rFonts w:ascii="Times New Roman" w:eastAsia="Times New Roman" w:hAnsi="Times New Roman" w:cs="Times New Roman"/>
                <w:sz w:val="24"/>
                <w:szCs w:val="24"/>
                <w:lang w:eastAsia="ru-RU"/>
              </w:rPr>
              <w:t>м</w:t>
            </w:r>
            <w:proofErr w:type="gramEnd"/>
            <w:r w:rsidRPr="00EC20F8">
              <w:rPr>
                <w:rFonts w:ascii="Times New Roman" w:eastAsia="Times New Roman" w:hAnsi="Times New Roman" w:cs="Times New Roman"/>
                <w:sz w:val="24"/>
                <w:szCs w:val="24"/>
                <w:lang w:eastAsia="ru-RU"/>
              </w:rPr>
              <w:t xml:space="preserve"> кв.</w:t>
            </w:r>
          </w:p>
        </w:tc>
        <w:tc>
          <w:tcPr>
            <w:tcW w:w="1482" w:type="dxa"/>
            <w:tcBorders>
              <w:top w:val="nil"/>
              <w:left w:val="nil"/>
              <w:bottom w:val="single" w:sz="4" w:space="0" w:color="auto"/>
              <w:right w:val="single" w:sz="4" w:space="0" w:color="auto"/>
            </w:tcBorders>
            <w:shd w:val="clear" w:color="auto" w:fill="auto"/>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lang w:eastAsia="ru-RU"/>
              </w:rPr>
            </w:pPr>
            <w:r w:rsidRPr="00EC20F8">
              <w:rPr>
                <w:rFonts w:ascii="Times New Roman" w:eastAsia="Times New Roman" w:hAnsi="Times New Roman" w:cs="Times New Roman"/>
                <w:lang w:eastAsia="ru-RU"/>
              </w:rPr>
              <w:t>Информация отсутствует</w:t>
            </w:r>
          </w:p>
        </w:tc>
        <w:tc>
          <w:tcPr>
            <w:tcW w:w="1200" w:type="dxa"/>
            <w:tcBorders>
              <w:top w:val="nil"/>
              <w:left w:val="nil"/>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0,265</w:t>
            </w:r>
          </w:p>
        </w:tc>
        <w:tc>
          <w:tcPr>
            <w:tcW w:w="1175" w:type="dxa"/>
            <w:tcBorders>
              <w:top w:val="single" w:sz="4" w:space="0" w:color="auto"/>
              <w:left w:val="nil"/>
              <w:bottom w:val="single" w:sz="4" w:space="0" w:color="auto"/>
              <w:right w:val="single" w:sz="4" w:space="0" w:color="auto"/>
            </w:tcBorders>
            <w:vAlign w:val="center"/>
          </w:tcPr>
          <w:p w:rsidR="00E55801" w:rsidRPr="00EC20F8" w:rsidRDefault="00E55801" w:rsidP="00E55801">
            <w:pPr>
              <w:spacing w:line="240" w:lineRule="auto"/>
              <w:contextualSpacing/>
              <w:jc w:val="center"/>
              <w:rPr>
                <w:rFonts w:ascii="Times New Roman" w:eastAsia="Times New Roman" w:hAnsi="Times New Roman" w:cs="Times New Roman"/>
                <w:sz w:val="24"/>
                <w:szCs w:val="24"/>
                <w:vertAlign w:val="superscript"/>
                <w:lang w:eastAsia="ru-RU"/>
              </w:rPr>
            </w:pPr>
            <w:r w:rsidRPr="00EC20F8">
              <w:rPr>
                <w:rFonts w:ascii="Times New Roman" w:eastAsia="Times New Roman" w:hAnsi="Times New Roman" w:cs="Times New Roman"/>
                <w:sz w:val="24"/>
                <w:szCs w:val="24"/>
                <w:lang w:eastAsia="ru-RU"/>
              </w:rPr>
              <w:t>0,263</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jc w:val="center"/>
              <w:rPr>
                <w:rFonts w:ascii="Times New Roman" w:eastAsia="Times New Roman" w:hAnsi="Times New Roman" w:cs="Times New Roman"/>
                <w:sz w:val="24"/>
                <w:szCs w:val="24"/>
                <w:vertAlign w:val="superscript"/>
                <w:lang w:eastAsia="ru-RU"/>
              </w:rPr>
            </w:pPr>
            <w:r w:rsidRPr="00EC20F8">
              <w:rPr>
                <w:rFonts w:ascii="Times New Roman" w:eastAsia="Times New Roman" w:hAnsi="Times New Roman" w:cs="Times New Roman"/>
                <w:sz w:val="24"/>
                <w:szCs w:val="24"/>
                <w:lang w:eastAsia="ru-RU"/>
              </w:rPr>
              <w:t>0,239</w:t>
            </w:r>
          </w:p>
        </w:tc>
      </w:tr>
      <w:tr w:rsidR="00E55801" w:rsidRPr="00EC20F8" w:rsidTr="006C1F50">
        <w:trPr>
          <w:trHeight w:val="300"/>
        </w:trPr>
        <w:tc>
          <w:tcPr>
            <w:tcW w:w="270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Электроэнергия</w:t>
            </w:r>
          </w:p>
        </w:tc>
        <w:tc>
          <w:tcPr>
            <w:tcW w:w="1664" w:type="dxa"/>
            <w:tcBorders>
              <w:top w:val="nil"/>
              <w:left w:val="nil"/>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кВт*час/</w:t>
            </w:r>
            <w:proofErr w:type="gramStart"/>
            <w:r w:rsidRPr="00EC20F8">
              <w:rPr>
                <w:rFonts w:ascii="Times New Roman" w:eastAsia="Times New Roman" w:hAnsi="Times New Roman" w:cs="Times New Roman"/>
                <w:sz w:val="24"/>
                <w:szCs w:val="24"/>
                <w:lang w:eastAsia="ru-RU"/>
              </w:rPr>
              <w:t>м</w:t>
            </w:r>
            <w:proofErr w:type="gramEnd"/>
            <w:r w:rsidRPr="00EC20F8">
              <w:rPr>
                <w:rFonts w:ascii="Times New Roman" w:eastAsia="Times New Roman" w:hAnsi="Times New Roman" w:cs="Times New Roman"/>
                <w:sz w:val="24"/>
                <w:szCs w:val="24"/>
                <w:lang w:eastAsia="ru-RU"/>
              </w:rPr>
              <w:t xml:space="preserve"> кв.</w:t>
            </w:r>
          </w:p>
        </w:tc>
        <w:tc>
          <w:tcPr>
            <w:tcW w:w="1482" w:type="dxa"/>
            <w:tcBorders>
              <w:top w:val="nil"/>
              <w:left w:val="nil"/>
              <w:bottom w:val="single" w:sz="4" w:space="0" w:color="auto"/>
              <w:right w:val="single" w:sz="4" w:space="0" w:color="auto"/>
            </w:tcBorders>
            <w:shd w:val="clear" w:color="auto" w:fill="auto"/>
            <w:noWrap/>
            <w:vAlign w:val="bottom"/>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54,3</w:t>
            </w:r>
          </w:p>
        </w:tc>
        <w:tc>
          <w:tcPr>
            <w:tcW w:w="1200" w:type="dxa"/>
            <w:tcBorders>
              <w:top w:val="nil"/>
              <w:left w:val="nil"/>
              <w:bottom w:val="single" w:sz="4" w:space="0" w:color="auto"/>
              <w:right w:val="single" w:sz="4" w:space="0" w:color="auto"/>
            </w:tcBorders>
            <w:shd w:val="clear" w:color="auto" w:fill="auto"/>
            <w:noWrap/>
            <w:vAlign w:val="bottom"/>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53,9</w:t>
            </w:r>
          </w:p>
        </w:tc>
        <w:tc>
          <w:tcPr>
            <w:tcW w:w="1175" w:type="dxa"/>
            <w:tcBorders>
              <w:top w:val="single" w:sz="4" w:space="0" w:color="auto"/>
              <w:left w:val="nil"/>
              <w:bottom w:val="single" w:sz="4" w:space="0" w:color="auto"/>
              <w:right w:val="single" w:sz="4" w:space="0" w:color="auto"/>
            </w:tcBorders>
            <w:vAlign w:val="bottom"/>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49,13</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jc w:val="center"/>
              <w:rPr>
                <w:rFonts w:ascii="Times New Roman" w:eastAsia="Times New Roman" w:hAnsi="Times New Roman" w:cs="Times New Roman"/>
                <w:sz w:val="24"/>
                <w:szCs w:val="24"/>
                <w:vertAlign w:val="superscript"/>
                <w:lang w:eastAsia="ru-RU"/>
              </w:rPr>
            </w:pPr>
            <w:r w:rsidRPr="00EC20F8">
              <w:rPr>
                <w:rFonts w:ascii="Times New Roman" w:eastAsia="Times New Roman" w:hAnsi="Times New Roman" w:cs="Times New Roman"/>
                <w:sz w:val="24"/>
                <w:szCs w:val="24"/>
                <w:lang w:eastAsia="ru-RU"/>
              </w:rPr>
              <w:t>48,93</w:t>
            </w:r>
            <w:r w:rsidRPr="00EC20F8">
              <w:rPr>
                <w:rFonts w:ascii="Times New Roman" w:eastAsia="Times New Roman" w:hAnsi="Times New Roman" w:cs="Times New Roman"/>
                <w:sz w:val="24"/>
                <w:szCs w:val="24"/>
                <w:vertAlign w:val="superscript"/>
                <w:lang w:eastAsia="ru-RU"/>
              </w:rPr>
              <w:t>*</w:t>
            </w:r>
          </w:p>
        </w:tc>
      </w:tr>
      <w:tr w:rsidR="00E55801" w:rsidRPr="00EC20F8" w:rsidTr="006C1F50">
        <w:trPr>
          <w:trHeight w:val="300"/>
        </w:trPr>
        <w:tc>
          <w:tcPr>
            <w:tcW w:w="2709" w:type="dxa"/>
            <w:vMerge/>
            <w:tcBorders>
              <w:top w:val="nil"/>
              <w:left w:val="single" w:sz="4" w:space="0" w:color="auto"/>
              <w:bottom w:val="single" w:sz="4" w:space="0" w:color="000000"/>
              <w:right w:val="single" w:sz="4" w:space="0" w:color="auto"/>
            </w:tcBorders>
            <w:vAlign w:val="center"/>
            <w:hideMark/>
          </w:tcPr>
          <w:p w:rsidR="00E55801" w:rsidRPr="00EC20F8" w:rsidRDefault="00E55801" w:rsidP="00E55801">
            <w:pPr>
              <w:spacing w:line="240" w:lineRule="auto"/>
              <w:contextualSpacing/>
              <w:rPr>
                <w:rFonts w:ascii="Times New Roman" w:eastAsia="Times New Roman" w:hAnsi="Times New Roman" w:cs="Times New Roman"/>
                <w:sz w:val="24"/>
                <w:szCs w:val="24"/>
                <w:lang w:eastAsia="ru-RU"/>
              </w:rPr>
            </w:pPr>
          </w:p>
        </w:tc>
        <w:tc>
          <w:tcPr>
            <w:tcW w:w="1664" w:type="dxa"/>
            <w:tcBorders>
              <w:top w:val="nil"/>
              <w:left w:val="nil"/>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кВт*час/чел</w:t>
            </w:r>
          </w:p>
        </w:tc>
        <w:tc>
          <w:tcPr>
            <w:tcW w:w="1482" w:type="dxa"/>
            <w:tcBorders>
              <w:top w:val="nil"/>
              <w:left w:val="nil"/>
              <w:bottom w:val="single" w:sz="4" w:space="0" w:color="auto"/>
              <w:right w:val="single" w:sz="4" w:space="0" w:color="auto"/>
            </w:tcBorders>
            <w:shd w:val="clear" w:color="auto" w:fill="auto"/>
            <w:noWrap/>
            <w:vAlign w:val="bottom"/>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1280</w:t>
            </w:r>
          </w:p>
        </w:tc>
        <w:tc>
          <w:tcPr>
            <w:tcW w:w="1200" w:type="dxa"/>
            <w:tcBorders>
              <w:top w:val="nil"/>
              <w:left w:val="nil"/>
              <w:bottom w:val="single" w:sz="4" w:space="0" w:color="auto"/>
              <w:right w:val="single" w:sz="4" w:space="0" w:color="auto"/>
            </w:tcBorders>
            <w:shd w:val="clear" w:color="auto" w:fill="auto"/>
            <w:noWrap/>
            <w:vAlign w:val="bottom"/>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1285</w:t>
            </w:r>
          </w:p>
        </w:tc>
        <w:tc>
          <w:tcPr>
            <w:tcW w:w="1175" w:type="dxa"/>
            <w:tcBorders>
              <w:top w:val="single" w:sz="4" w:space="0" w:color="auto"/>
              <w:left w:val="nil"/>
              <w:bottom w:val="single" w:sz="4" w:space="0" w:color="auto"/>
              <w:right w:val="single" w:sz="4" w:space="0" w:color="auto"/>
            </w:tcBorders>
            <w:vAlign w:val="bottom"/>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1178</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1162,55</w:t>
            </w:r>
          </w:p>
        </w:tc>
      </w:tr>
      <w:tr w:rsidR="00E55801" w:rsidRPr="00EC20F8" w:rsidTr="006C1F50">
        <w:trPr>
          <w:trHeight w:val="300"/>
        </w:trPr>
        <w:tc>
          <w:tcPr>
            <w:tcW w:w="270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Вода</w:t>
            </w:r>
          </w:p>
        </w:tc>
        <w:tc>
          <w:tcPr>
            <w:tcW w:w="1664" w:type="dxa"/>
            <w:tcBorders>
              <w:top w:val="nil"/>
              <w:left w:val="nil"/>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proofErr w:type="gramStart"/>
            <w:r w:rsidRPr="00EC20F8">
              <w:rPr>
                <w:rFonts w:ascii="Times New Roman" w:eastAsia="Times New Roman" w:hAnsi="Times New Roman" w:cs="Times New Roman"/>
                <w:sz w:val="24"/>
                <w:szCs w:val="24"/>
                <w:lang w:eastAsia="ru-RU"/>
              </w:rPr>
              <w:t>м</w:t>
            </w:r>
            <w:proofErr w:type="gramEnd"/>
            <w:r w:rsidRPr="00EC20F8">
              <w:rPr>
                <w:rFonts w:ascii="Times New Roman" w:eastAsia="Times New Roman" w:hAnsi="Times New Roman" w:cs="Times New Roman"/>
                <w:sz w:val="24"/>
                <w:szCs w:val="24"/>
                <w:lang w:eastAsia="ru-RU"/>
              </w:rPr>
              <w:t xml:space="preserve"> куб/м кв.</w:t>
            </w:r>
          </w:p>
        </w:tc>
        <w:tc>
          <w:tcPr>
            <w:tcW w:w="1482" w:type="dxa"/>
            <w:tcBorders>
              <w:top w:val="nil"/>
              <w:left w:val="nil"/>
              <w:bottom w:val="single" w:sz="4" w:space="0" w:color="auto"/>
              <w:right w:val="single" w:sz="4" w:space="0" w:color="auto"/>
            </w:tcBorders>
            <w:shd w:val="clear" w:color="auto" w:fill="auto"/>
            <w:noWrap/>
            <w:vAlign w:val="bottom"/>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2,46</w:t>
            </w:r>
          </w:p>
        </w:tc>
        <w:tc>
          <w:tcPr>
            <w:tcW w:w="1200" w:type="dxa"/>
            <w:tcBorders>
              <w:top w:val="nil"/>
              <w:left w:val="nil"/>
              <w:bottom w:val="single" w:sz="4" w:space="0" w:color="auto"/>
              <w:right w:val="single" w:sz="4" w:space="0" w:color="auto"/>
            </w:tcBorders>
            <w:shd w:val="clear" w:color="auto" w:fill="auto"/>
            <w:noWrap/>
            <w:vAlign w:val="bottom"/>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2,38</w:t>
            </w:r>
          </w:p>
        </w:tc>
        <w:tc>
          <w:tcPr>
            <w:tcW w:w="1175" w:type="dxa"/>
            <w:tcBorders>
              <w:top w:val="single" w:sz="4" w:space="0" w:color="auto"/>
              <w:left w:val="nil"/>
              <w:bottom w:val="single" w:sz="4" w:space="0" w:color="auto"/>
              <w:right w:val="single" w:sz="4" w:space="0" w:color="auto"/>
            </w:tcBorders>
            <w:vAlign w:val="bottom"/>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2,27</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jc w:val="center"/>
              <w:rPr>
                <w:rFonts w:ascii="Times New Roman" w:eastAsia="Times New Roman" w:hAnsi="Times New Roman" w:cs="Times New Roman"/>
                <w:sz w:val="24"/>
                <w:szCs w:val="24"/>
                <w:vertAlign w:val="superscript"/>
                <w:lang w:eastAsia="ru-RU"/>
              </w:rPr>
            </w:pPr>
            <w:r w:rsidRPr="00EC20F8">
              <w:rPr>
                <w:rFonts w:ascii="Times New Roman" w:eastAsia="Times New Roman" w:hAnsi="Times New Roman" w:cs="Times New Roman"/>
                <w:sz w:val="24"/>
                <w:szCs w:val="24"/>
                <w:lang w:eastAsia="ru-RU"/>
              </w:rPr>
              <w:t>2,16</w:t>
            </w:r>
            <w:r w:rsidRPr="00EC20F8">
              <w:rPr>
                <w:rFonts w:ascii="Times New Roman" w:eastAsia="Times New Roman" w:hAnsi="Times New Roman" w:cs="Times New Roman"/>
                <w:sz w:val="24"/>
                <w:szCs w:val="24"/>
                <w:vertAlign w:val="superscript"/>
                <w:lang w:eastAsia="ru-RU"/>
              </w:rPr>
              <w:t>*</w:t>
            </w:r>
          </w:p>
        </w:tc>
      </w:tr>
      <w:tr w:rsidR="00E55801" w:rsidRPr="00EC20F8" w:rsidTr="006C1F50">
        <w:trPr>
          <w:trHeight w:val="300"/>
        </w:trPr>
        <w:tc>
          <w:tcPr>
            <w:tcW w:w="2709" w:type="dxa"/>
            <w:vMerge/>
            <w:tcBorders>
              <w:top w:val="nil"/>
              <w:left w:val="single" w:sz="4" w:space="0" w:color="auto"/>
              <w:bottom w:val="single" w:sz="4" w:space="0" w:color="000000"/>
              <w:right w:val="single" w:sz="4" w:space="0" w:color="auto"/>
            </w:tcBorders>
            <w:vAlign w:val="center"/>
            <w:hideMark/>
          </w:tcPr>
          <w:p w:rsidR="00E55801" w:rsidRPr="00EC20F8" w:rsidRDefault="00E55801" w:rsidP="00E55801">
            <w:pPr>
              <w:spacing w:line="240" w:lineRule="auto"/>
              <w:contextualSpacing/>
              <w:rPr>
                <w:rFonts w:ascii="Times New Roman" w:eastAsia="Times New Roman" w:hAnsi="Times New Roman" w:cs="Times New Roman"/>
                <w:sz w:val="24"/>
                <w:szCs w:val="24"/>
                <w:lang w:eastAsia="ru-RU"/>
              </w:rPr>
            </w:pPr>
          </w:p>
        </w:tc>
        <w:tc>
          <w:tcPr>
            <w:tcW w:w="1664" w:type="dxa"/>
            <w:tcBorders>
              <w:top w:val="nil"/>
              <w:left w:val="nil"/>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proofErr w:type="gramStart"/>
            <w:r w:rsidRPr="00EC20F8">
              <w:rPr>
                <w:rFonts w:ascii="Times New Roman" w:eastAsia="Times New Roman" w:hAnsi="Times New Roman" w:cs="Times New Roman"/>
                <w:sz w:val="24"/>
                <w:szCs w:val="24"/>
                <w:lang w:eastAsia="ru-RU"/>
              </w:rPr>
              <w:t>м</w:t>
            </w:r>
            <w:proofErr w:type="gramEnd"/>
            <w:r w:rsidRPr="00EC20F8">
              <w:rPr>
                <w:rFonts w:ascii="Times New Roman" w:eastAsia="Times New Roman" w:hAnsi="Times New Roman" w:cs="Times New Roman"/>
                <w:sz w:val="24"/>
                <w:szCs w:val="24"/>
                <w:lang w:eastAsia="ru-RU"/>
              </w:rPr>
              <w:t xml:space="preserve"> куб/чел</w:t>
            </w:r>
          </w:p>
        </w:tc>
        <w:tc>
          <w:tcPr>
            <w:tcW w:w="1482" w:type="dxa"/>
            <w:tcBorders>
              <w:top w:val="nil"/>
              <w:left w:val="nil"/>
              <w:bottom w:val="single" w:sz="4" w:space="0" w:color="auto"/>
              <w:right w:val="single" w:sz="4" w:space="0" w:color="auto"/>
            </w:tcBorders>
            <w:shd w:val="clear" w:color="auto" w:fill="auto"/>
            <w:noWrap/>
            <w:vAlign w:val="bottom"/>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58,1</w:t>
            </w:r>
          </w:p>
        </w:tc>
        <w:tc>
          <w:tcPr>
            <w:tcW w:w="1200" w:type="dxa"/>
            <w:tcBorders>
              <w:top w:val="nil"/>
              <w:left w:val="nil"/>
              <w:bottom w:val="single" w:sz="4" w:space="0" w:color="auto"/>
              <w:right w:val="single" w:sz="4" w:space="0" w:color="auto"/>
            </w:tcBorders>
            <w:shd w:val="clear" w:color="auto" w:fill="auto"/>
            <w:noWrap/>
            <w:vAlign w:val="bottom"/>
            <w:hideMark/>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56,9</w:t>
            </w:r>
          </w:p>
        </w:tc>
        <w:tc>
          <w:tcPr>
            <w:tcW w:w="1175" w:type="dxa"/>
            <w:tcBorders>
              <w:top w:val="single" w:sz="4" w:space="0" w:color="auto"/>
              <w:left w:val="nil"/>
              <w:bottom w:val="single" w:sz="4" w:space="0" w:color="auto"/>
              <w:right w:val="single" w:sz="4" w:space="0" w:color="auto"/>
            </w:tcBorders>
            <w:vAlign w:val="bottom"/>
          </w:tcPr>
          <w:p w:rsidR="00E55801" w:rsidRPr="00EC20F8" w:rsidRDefault="00E55801" w:rsidP="00E55801">
            <w:pPr>
              <w:spacing w:line="240" w:lineRule="auto"/>
              <w:contextualSpacing/>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54,5</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5801" w:rsidRPr="00EC20F8" w:rsidRDefault="00E55801" w:rsidP="00E55801">
            <w:pPr>
              <w:spacing w:line="240" w:lineRule="auto"/>
              <w:jc w:val="center"/>
              <w:rPr>
                <w:rFonts w:ascii="Times New Roman" w:eastAsia="Times New Roman" w:hAnsi="Times New Roman" w:cs="Times New Roman"/>
                <w:sz w:val="24"/>
                <w:szCs w:val="24"/>
                <w:lang w:eastAsia="ru-RU"/>
              </w:rPr>
            </w:pPr>
            <w:r w:rsidRPr="00EC20F8">
              <w:rPr>
                <w:rFonts w:ascii="Times New Roman" w:eastAsia="Times New Roman" w:hAnsi="Times New Roman" w:cs="Times New Roman"/>
                <w:sz w:val="24"/>
                <w:szCs w:val="24"/>
                <w:lang w:eastAsia="ru-RU"/>
              </w:rPr>
              <w:t>51,28</w:t>
            </w:r>
          </w:p>
        </w:tc>
      </w:tr>
    </w:tbl>
    <w:p w:rsidR="001B3F4F" w:rsidRDefault="001B3F4F" w:rsidP="00E55801">
      <w:pPr>
        <w:spacing w:line="240" w:lineRule="auto"/>
        <w:ind w:firstLine="567"/>
        <w:contextualSpacing/>
        <w:jc w:val="both"/>
        <w:rPr>
          <w:rFonts w:ascii="Times New Roman" w:hAnsi="Times New Roman" w:cs="Times New Roman"/>
          <w:b/>
          <w:bCs/>
          <w:u w:val="single"/>
        </w:rPr>
      </w:pPr>
    </w:p>
    <w:p w:rsidR="00E55801" w:rsidRPr="00EC20F8" w:rsidRDefault="00E55801" w:rsidP="00E55801">
      <w:pPr>
        <w:spacing w:line="240" w:lineRule="auto"/>
        <w:ind w:firstLine="567"/>
        <w:contextualSpacing/>
        <w:jc w:val="both"/>
        <w:rPr>
          <w:rFonts w:ascii="Times New Roman" w:hAnsi="Times New Roman" w:cs="Times New Roman"/>
          <w:bCs/>
        </w:rPr>
      </w:pPr>
      <w:r w:rsidRPr="00EC20F8">
        <w:rPr>
          <w:rFonts w:ascii="Times New Roman" w:hAnsi="Times New Roman" w:cs="Times New Roman"/>
          <w:b/>
          <w:bCs/>
          <w:u w:val="single"/>
        </w:rPr>
        <w:t>Примечание:</w:t>
      </w:r>
      <w:r w:rsidRPr="00EC20F8">
        <w:rPr>
          <w:rFonts w:ascii="Times New Roman" w:hAnsi="Times New Roman" w:cs="Times New Roman"/>
          <w:bCs/>
        </w:rPr>
        <w:t xml:space="preserve"> Величина удельных показателей по итогам первого полугодия 2014 года не приводится, т. к. их сравнение с годовыми показателями не корректно и зависит от погодных условий.</w:t>
      </w:r>
    </w:p>
    <w:p w:rsidR="00E55801" w:rsidRPr="00EC20F8" w:rsidRDefault="00E55801" w:rsidP="001B3F4F">
      <w:pPr>
        <w:autoSpaceDE w:val="0"/>
        <w:autoSpaceDN w:val="0"/>
        <w:adjustRightInd w:val="0"/>
        <w:spacing w:line="247" w:lineRule="auto"/>
        <w:contextualSpacing/>
        <w:jc w:val="both"/>
        <w:rPr>
          <w:rFonts w:ascii="Times New Roman" w:eastAsia="Calibri" w:hAnsi="Times New Roman" w:cs="Times New Roman"/>
        </w:rPr>
      </w:pPr>
    </w:p>
    <w:p w:rsidR="00A0596C" w:rsidRPr="00EC20F8" w:rsidRDefault="00E55801" w:rsidP="001B3F4F">
      <w:pPr>
        <w:tabs>
          <w:tab w:val="left" w:pos="1134"/>
        </w:tabs>
        <w:spacing w:line="247" w:lineRule="auto"/>
        <w:ind w:firstLine="709"/>
        <w:jc w:val="both"/>
        <w:rPr>
          <w:rFonts w:ascii="Times New Roman" w:hAnsi="Times New Roman" w:cs="Times New Roman"/>
          <w:sz w:val="28"/>
          <w:szCs w:val="28"/>
        </w:rPr>
      </w:pPr>
      <w:r w:rsidRPr="00EC20F8">
        <w:rPr>
          <w:rFonts w:ascii="Times New Roman" w:hAnsi="Times New Roman" w:cs="Times New Roman"/>
          <w:b/>
          <w:i/>
          <w:sz w:val="28"/>
          <w:szCs w:val="28"/>
        </w:rPr>
        <w:t>В прогнозный период</w:t>
      </w:r>
      <w:r w:rsidRPr="00EC20F8">
        <w:rPr>
          <w:rFonts w:ascii="Times New Roman" w:hAnsi="Times New Roman" w:cs="Times New Roman"/>
          <w:sz w:val="28"/>
          <w:szCs w:val="28"/>
        </w:rPr>
        <w:t xml:space="preserve"> в</w:t>
      </w:r>
      <w:r w:rsidR="00A0596C" w:rsidRPr="00EC20F8">
        <w:rPr>
          <w:rFonts w:ascii="Times New Roman" w:hAnsi="Times New Roman" w:cs="Times New Roman"/>
          <w:spacing w:val="-2"/>
          <w:sz w:val="28"/>
          <w:szCs w:val="28"/>
        </w:rPr>
        <w:t xml:space="preserve">  буду</w:t>
      </w:r>
      <w:r w:rsidRPr="00EC20F8">
        <w:rPr>
          <w:rFonts w:ascii="Times New Roman" w:hAnsi="Times New Roman" w:cs="Times New Roman"/>
          <w:spacing w:val="-2"/>
          <w:sz w:val="28"/>
          <w:szCs w:val="28"/>
        </w:rPr>
        <w:t xml:space="preserve">т </w:t>
      </w:r>
      <w:r w:rsidRPr="00EC20F8">
        <w:rPr>
          <w:rFonts w:ascii="Times New Roman" w:hAnsi="Times New Roman" w:cs="Times New Roman"/>
          <w:sz w:val="28"/>
          <w:szCs w:val="28"/>
        </w:rPr>
        <w:t>реализовываться  мероприятия подпрограммы</w:t>
      </w:r>
      <w:r w:rsidR="00A0596C" w:rsidRPr="00EC20F8">
        <w:rPr>
          <w:rFonts w:ascii="Times New Roman" w:hAnsi="Times New Roman" w:cs="Times New Roman"/>
          <w:sz w:val="28"/>
          <w:szCs w:val="28"/>
        </w:rPr>
        <w:t xml:space="preserve"> </w:t>
      </w:r>
      <w:r w:rsidRPr="00EC20F8">
        <w:rPr>
          <w:rFonts w:ascii="Times New Roman" w:eastAsia="Calibri" w:hAnsi="Times New Roman" w:cs="Times New Roman"/>
          <w:sz w:val="28"/>
          <w:szCs w:val="28"/>
        </w:rPr>
        <w:t xml:space="preserve">«Энергосбережение и повышение энергетической эффективности» </w:t>
      </w:r>
      <w:r w:rsidRPr="00EC20F8">
        <w:rPr>
          <w:rFonts w:ascii="Times New Roman" w:hAnsi="Times New Roman" w:cs="Times New Roman"/>
          <w:sz w:val="28"/>
          <w:szCs w:val="28"/>
        </w:rPr>
        <w:t xml:space="preserve">муниципальной программы </w:t>
      </w:r>
      <w:r w:rsidRPr="00EC20F8">
        <w:rPr>
          <w:rFonts w:ascii="Times New Roman" w:eastAsia="Calibri" w:hAnsi="Times New Roman" w:cs="Times New Roman"/>
          <w:sz w:val="28"/>
          <w:szCs w:val="28"/>
        </w:rPr>
        <w:t xml:space="preserve"> </w:t>
      </w:r>
      <w:r w:rsidRPr="00EC20F8">
        <w:rPr>
          <w:rFonts w:ascii="Times New Roman" w:hAnsi="Times New Roman" w:cs="Times New Roman"/>
          <w:sz w:val="28"/>
          <w:szCs w:val="28"/>
        </w:rPr>
        <w:t xml:space="preserve">«Энергоэффективность, развитие энергетики и коммунального хозяйства, обеспечение жителей Петропавловск-Камчатского городского округа коммунальными услугами, услугами по благоустройству территории и охрана окружающей среды», </w:t>
      </w:r>
      <w:r w:rsidR="00A0596C" w:rsidRPr="00EC20F8">
        <w:rPr>
          <w:rFonts w:ascii="Times New Roman" w:hAnsi="Times New Roman" w:cs="Times New Roman"/>
          <w:sz w:val="28"/>
          <w:szCs w:val="28"/>
        </w:rPr>
        <w:t xml:space="preserve">направленных </w:t>
      </w:r>
      <w:proofErr w:type="gramStart"/>
      <w:r w:rsidR="00A0596C" w:rsidRPr="00EC20F8">
        <w:rPr>
          <w:rFonts w:ascii="Times New Roman" w:hAnsi="Times New Roman" w:cs="Times New Roman"/>
          <w:sz w:val="28"/>
          <w:szCs w:val="28"/>
        </w:rPr>
        <w:t>на</w:t>
      </w:r>
      <w:proofErr w:type="gramEnd"/>
      <w:r w:rsidR="00A0596C" w:rsidRPr="00EC20F8">
        <w:rPr>
          <w:rFonts w:ascii="Times New Roman" w:hAnsi="Times New Roman" w:cs="Times New Roman"/>
          <w:sz w:val="28"/>
          <w:szCs w:val="28"/>
        </w:rPr>
        <w:t>:</w:t>
      </w:r>
    </w:p>
    <w:p w:rsidR="00A0596C" w:rsidRPr="00EC20F8" w:rsidRDefault="00A0596C" w:rsidP="001B3F4F">
      <w:pPr>
        <w:tabs>
          <w:tab w:val="left" w:pos="1134"/>
        </w:tabs>
        <w:spacing w:line="247" w:lineRule="auto"/>
        <w:ind w:firstLine="709"/>
        <w:jc w:val="both"/>
        <w:rPr>
          <w:rFonts w:ascii="Times New Roman" w:hAnsi="Times New Roman" w:cs="Times New Roman"/>
          <w:sz w:val="28"/>
          <w:szCs w:val="28"/>
        </w:rPr>
      </w:pPr>
      <w:bookmarkStart w:id="127" w:name="sub_261"/>
      <w:r w:rsidRPr="00EC20F8">
        <w:rPr>
          <w:rFonts w:ascii="Times New Roman" w:hAnsi="Times New Roman" w:cs="Times New Roman"/>
          <w:sz w:val="28"/>
          <w:szCs w:val="28"/>
        </w:rPr>
        <w:t xml:space="preserve">- прекращение </w:t>
      </w:r>
      <w:proofErr w:type="spellStart"/>
      <w:r w:rsidRPr="00EC20F8">
        <w:rPr>
          <w:rFonts w:ascii="Times New Roman" w:hAnsi="Times New Roman" w:cs="Times New Roman"/>
          <w:sz w:val="28"/>
          <w:szCs w:val="28"/>
        </w:rPr>
        <w:t>безучетного</w:t>
      </w:r>
      <w:proofErr w:type="spellEnd"/>
      <w:r w:rsidRPr="00EC20F8">
        <w:rPr>
          <w:rFonts w:ascii="Times New Roman" w:hAnsi="Times New Roman" w:cs="Times New Roman"/>
          <w:sz w:val="28"/>
          <w:szCs w:val="28"/>
        </w:rPr>
        <w:t xml:space="preserve"> потребления и повышение эффективности использования топлива, энергии, воды в организациях, финансируемых из бюджета городского округа, создание условий для прекращения </w:t>
      </w:r>
      <w:proofErr w:type="spellStart"/>
      <w:r w:rsidRPr="00EC20F8">
        <w:rPr>
          <w:rFonts w:ascii="Times New Roman" w:hAnsi="Times New Roman" w:cs="Times New Roman"/>
          <w:sz w:val="28"/>
          <w:szCs w:val="28"/>
        </w:rPr>
        <w:t>безучетного</w:t>
      </w:r>
      <w:proofErr w:type="spellEnd"/>
      <w:r w:rsidRPr="00EC20F8">
        <w:rPr>
          <w:rFonts w:ascii="Times New Roman" w:hAnsi="Times New Roman" w:cs="Times New Roman"/>
          <w:sz w:val="28"/>
          <w:szCs w:val="28"/>
        </w:rPr>
        <w:t xml:space="preserve"> потребления ресурсов и внедрения </w:t>
      </w:r>
      <w:proofErr w:type="spellStart"/>
      <w:r w:rsidRPr="00EC20F8">
        <w:rPr>
          <w:rFonts w:ascii="Times New Roman" w:hAnsi="Times New Roman" w:cs="Times New Roman"/>
          <w:sz w:val="28"/>
          <w:szCs w:val="28"/>
        </w:rPr>
        <w:t>энергоэффективных</w:t>
      </w:r>
      <w:proofErr w:type="spellEnd"/>
      <w:r w:rsidRPr="00EC20F8">
        <w:rPr>
          <w:rFonts w:ascii="Times New Roman" w:hAnsi="Times New Roman" w:cs="Times New Roman"/>
          <w:sz w:val="28"/>
          <w:szCs w:val="28"/>
        </w:rPr>
        <w:t xml:space="preserve"> технологий на объектах энергетической инфраструктуры города и у некоммерческих потребителей;</w:t>
      </w:r>
    </w:p>
    <w:p w:rsidR="00A0596C" w:rsidRPr="00EC20F8" w:rsidRDefault="00A0596C" w:rsidP="001B3F4F">
      <w:pPr>
        <w:autoSpaceDE w:val="0"/>
        <w:autoSpaceDN w:val="0"/>
        <w:adjustRightInd w:val="0"/>
        <w:spacing w:line="247" w:lineRule="auto"/>
        <w:ind w:firstLine="709"/>
        <w:jc w:val="both"/>
        <w:rPr>
          <w:rFonts w:ascii="Times New Roman" w:hAnsi="Times New Roman" w:cs="Times New Roman"/>
          <w:sz w:val="28"/>
          <w:szCs w:val="28"/>
        </w:rPr>
      </w:pPr>
      <w:bookmarkStart w:id="128" w:name="sub_263"/>
      <w:bookmarkEnd w:id="127"/>
      <w:r w:rsidRPr="00EC20F8">
        <w:rPr>
          <w:rFonts w:ascii="Times New Roman" w:hAnsi="Times New Roman" w:cs="Times New Roman"/>
          <w:sz w:val="28"/>
          <w:szCs w:val="28"/>
        </w:rPr>
        <w:t xml:space="preserve">-  обеспечение единой информационной и пропагандистской политики администрации </w:t>
      </w:r>
      <w:proofErr w:type="spellStart"/>
      <w:proofErr w:type="gramStart"/>
      <w:r w:rsidRPr="00EC20F8">
        <w:rPr>
          <w:rFonts w:ascii="Times New Roman" w:hAnsi="Times New Roman" w:cs="Times New Roman"/>
          <w:sz w:val="28"/>
          <w:szCs w:val="28"/>
        </w:rPr>
        <w:t>Петропавловск-Камчатского</w:t>
      </w:r>
      <w:proofErr w:type="spellEnd"/>
      <w:proofErr w:type="gramEnd"/>
      <w:r w:rsidRPr="00EC20F8">
        <w:rPr>
          <w:rFonts w:ascii="Times New Roman" w:hAnsi="Times New Roman" w:cs="Times New Roman"/>
          <w:sz w:val="28"/>
          <w:szCs w:val="28"/>
        </w:rPr>
        <w:t xml:space="preserve"> городского округа в отношении вопросов энергосбережения и повышения энергетической эффективности;</w:t>
      </w:r>
    </w:p>
    <w:p w:rsidR="00A0596C" w:rsidRPr="00EC20F8" w:rsidRDefault="00A0596C" w:rsidP="001B3F4F">
      <w:pPr>
        <w:autoSpaceDE w:val="0"/>
        <w:autoSpaceDN w:val="0"/>
        <w:adjustRightInd w:val="0"/>
        <w:spacing w:line="247" w:lineRule="auto"/>
        <w:ind w:firstLine="709"/>
        <w:jc w:val="both"/>
        <w:rPr>
          <w:rFonts w:ascii="Times New Roman" w:hAnsi="Times New Roman" w:cs="Times New Roman"/>
          <w:sz w:val="28"/>
          <w:szCs w:val="28"/>
        </w:rPr>
      </w:pPr>
      <w:bookmarkStart w:id="129" w:name="sub_264"/>
      <w:bookmarkEnd w:id="128"/>
      <w:r w:rsidRPr="00EC20F8">
        <w:rPr>
          <w:rFonts w:ascii="Times New Roman" w:hAnsi="Times New Roman" w:cs="Times New Roman"/>
          <w:sz w:val="28"/>
          <w:szCs w:val="28"/>
        </w:rPr>
        <w:t>- реализацию в городском округе мероприятий по газификации и мероприятий в рамках заключенных концессионных соглашений. Данная задача решается путем ремонта тепловых пунктов и электрических сетей к многоквартирным домам (общежитиям), увеличением мощности сооружения «Котельная № 1» за счет перевода на</w:t>
      </w:r>
      <w:r w:rsidR="00E910BA" w:rsidRPr="00EC20F8">
        <w:rPr>
          <w:rFonts w:ascii="Times New Roman" w:hAnsi="Times New Roman" w:cs="Times New Roman"/>
          <w:sz w:val="28"/>
          <w:szCs w:val="28"/>
        </w:rPr>
        <w:t xml:space="preserve"> газ.</w:t>
      </w:r>
    </w:p>
    <w:bookmarkEnd w:id="129"/>
    <w:p w:rsidR="00A0596C" w:rsidRPr="00EC20F8" w:rsidRDefault="00A0596C" w:rsidP="001B3F4F">
      <w:pPr>
        <w:autoSpaceDE w:val="0"/>
        <w:autoSpaceDN w:val="0"/>
        <w:adjustRightInd w:val="0"/>
        <w:spacing w:line="247"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модернизацию систем энергосбережения, теплоснабжения</w:t>
      </w:r>
      <w:r w:rsidR="003A01B2" w:rsidRPr="00EC20F8">
        <w:rPr>
          <w:rFonts w:ascii="Times New Roman" w:hAnsi="Times New Roman" w:cs="Times New Roman"/>
          <w:sz w:val="28"/>
          <w:szCs w:val="28"/>
        </w:rPr>
        <w:t xml:space="preserve">, водоснабжения и водоотведения: планируется актуализация схемы теплоснабжения городского округа с электронной моделью, разработка схем водоснабжения городского округа с электронной моделью (с подробным гидравлическим расчетом); разработка схем водоотведения </w:t>
      </w:r>
      <w:r w:rsidR="001B3F4F" w:rsidRPr="00EC20F8">
        <w:rPr>
          <w:rFonts w:ascii="Times New Roman" w:hAnsi="Times New Roman" w:cs="Times New Roman"/>
          <w:sz w:val="28"/>
          <w:szCs w:val="28"/>
        </w:rPr>
        <w:t>городского округа с электронной моделью (с подробным гидравлическим расчетом)</w:t>
      </w:r>
      <w:r w:rsidR="001B3F4F">
        <w:rPr>
          <w:rFonts w:ascii="Times New Roman" w:hAnsi="Times New Roman" w:cs="Times New Roman"/>
          <w:sz w:val="28"/>
          <w:szCs w:val="28"/>
        </w:rPr>
        <w:t>.</w:t>
      </w:r>
    </w:p>
    <w:p w:rsidR="00E55801" w:rsidRPr="00EC20F8" w:rsidRDefault="00E55801" w:rsidP="001B3F4F">
      <w:pPr>
        <w:tabs>
          <w:tab w:val="left" w:pos="-142"/>
        </w:tabs>
        <w:spacing w:line="247"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Существует ряд проблем, непосредственно влияющих на эффективность потребления топливно-энергетических ресурсов:</w:t>
      </w:r>
    </w:p>
    <w:p w:rsidR="00E55801" w:rsidRPr="00EC20F8" w:rsidRDefault="00E55801" w:rsidP="001B3F4F">
      <w:pPr>
        <w:autoSpaceDE w:val="0"/>
        <w:autoSpaceDN w:val="0"/>
        <w:adjustRightInd w:val="0"/>
        <w:spacing w:line="247" w:lineRule="auto"/>
        <w:ind w:firstLine="709"/>
        <w:jc w:val="both"/>
        <w:rPr>
          <w:rFonts w:ascii="Times New Roman" w:hAnsi="Times New Roman" w:cs="Times New Roman"/>
          <w:sz w:val="28"/>
          <w:szCs w:val="28"/>
        </w:rPr>
      </w:pPr>
      <w:bookmarkStart w:id="130" w:name="_Toc368930860"/>
      <w:bookmarkStart w:id="131" w:name="_Toc368930236"/>
      <w:r w:rsidRPr="00EC20F8">
        <w:rPr>
          <w:rFonts w:ascii="Times New Roman" w:hAnsi="Times New Roman" w:cs="Times New Roman"/>
          <w:sz w:val="28"/>
          <w:szCs w:val="28"/>
        </w:rPr>
        <w:t>- значительный моральный и физический износ основных фондов, их низкая технологическая надежность и высокая аварийность;</w:t>
      </w:r>
      <w:bookmarkEnd w:id="130"/>
      <w:bookmarkEnd w:id="131"/>
    </w:p>
    <w:p w:rsidR="00E55801" w:rsidRPr="00EC20F8" w:rsidRDefault="00E55801" w:rsidP="001B3F4F">
      <w:pPr>
        <w:autoSpaceDE w:val="0"/>
        <w:autoSpaceDN w:val="0"/>
        <w:adjustRightInd w:val="0"/>
        <w:spacing w:line="254" w:lineRule="auto"/>
        <w:ind w:firstLine="709"/>
        <w:jc w:val="both"/>
        <w:rPr>
          <w:rFonts w:ascii="Times New Roman" w:hAnsi="Times New Roman" w:cs="Times New Roman"/>
          <w:sz w:val="28"/>
          <w:szCs w:val="28"/>
        </w:rPr>
      </w:pPr>
      <w:bookmarkStart w:id="132" w:name="_Toc368930861"/>
      <w:bookmarkStart w:id="133" w:name="_Toc368930237"/>
      <w:r w:rsidRPr="00EC20F8">
        <w:rPr>
          <w:rFonts w:ascii="Times New Roman" w:hAnsi="Times New Roman" w:cs="Times New Roman"/>
          <w:sz w:val="28"/>
          <w:szCs w:val="28"/>
        </w:rPr>
        <w:t xml:space="preserve">- значительная протяженность </w:t>
      </w:r>
      <w:r w:rsidRPr="001B3F4F">
        <w:rPr>
          <w:rFonts w:ascii="Times New Roman" w:hAnsi="Times New Roman" w:cs="Times New Roman"/>
          <w:sz w:val="28"/>
          <w:szCs w:val="28"/>
        </w:rPr>
        <w:t>инженерных сетей;</w:t>
      </w:r>
      <w:bookmarkEnd w:id="132"/>
      <w:bookmarkEnd w:id="133"/>
    </w:p>
    <w:p w:rsidR="00E55801" w:rsidRPr="00EC20F8" w:rsidRDefault="00E55801" w:rsidP="00E55801">
      <w:pPr>
        <w:autoSpaceDE w:val="0"/>
        <w:autoSpaceDN w:val="0"/>
        <w:adjustRightInd w:val="0"/>
        <w:spacing w:line="232" w:lineRule="auto"/>
        <w:ind w:firstLine="709"/>
        <w:jc w:val="both"/>
        <w:outlineLvl w:val="1"/>
        <w:rPr>
          <w:rFonts w:ascii="Times New Roman" w:hAnsi="Times New Roman" w:cs="Times New Roman"/>
          <w:sz w:val="28"/>
          <w:szCs w:val="28"/>
        </w:rPr>
      </w:pPr>
      <w:bookmarkStart w:id="134" w:name="_Toc368930862"/>
      <w:bookmarkStart w:id="135" w:name="_Toc368930238"/>
      <w:r w:rsidRPr="00EC20F8">
        <w:rPr>
          <w:rFonts w:ascii="Times New Roman" w:hAnsi="Times New Roman" w:cs="Times New Roman"/>
          <w:sz w:val="28"/>
          <w:szCs w:val="28"/>
        </w:rPr>
        <w:t>- значительные потери при производстве, передаче и потреблении энергоресурсов, существенный расход первичных энергоресурсов;</w:t>
      </w:r>
      <w:bookmarkEnd w:id="134"/>
      <w:bookmarkEnd w:id="135"/>
    </w:p>
    <w:p w:rsidR="00E55801" w:rsidRPr="00EC20F8" w:rsidRDefault="00E55801" w:rsidP="00E55801">
      <w:pPr>
        <w:autoSpaceDE w:val="0"/>
        <w:autoSpaceDN w:val="0"/>
        <w:adjustRightInd w:val="0"/>
        <w:spacing w:line="232" w:lineRule="auto"/>
        <w:ind w:firstLine="709"/>
        <w:jc w:val="both"/>
        <w:outlineLvl w:val="1"/>
        <w:rPr>
          <w:rFonts w:ascii="Times New Roman" w:hAnsi="Times New Roman" w:cs="Times New Roman"/>
          <w:sz w:val="28"/>
          <w:szCs w:val="28"/>
        </w:rPr>
      </w:pPr>
      <w:bookmarkStart w:id="136" w:name="_Toc368930863"/>
      <w:bookmarkStart w:id="137" w:name="_Toc368930239"/>
      <w:r w:rsidRPr="00EC20F8">
        <w:rPr>
          <w:rFonts w:ascii="Times New Roman" w:hAnsi="Times New Roman" w:cs="Times New Roman"/>
          <w:sz w:val="28"/>
          <w:szCs w:val="28"/>
        </w:rPr>
        <w:t>- низкий уровень доходов и платежеспособности потребителей топливно-энергетических ресурсов.</w:t>
      </w:r>
      <w:bookmarkEnd w:id="136"/>
      <w:bookmarkEnd w:id="137"/>
    </w:p>
    <w:p w:rsidR="00E55801" w:rsidRPr="00EC20F8" w:rsidRDefault="00E55801" w:rsidP="00E55801">
      <w:pPr>
        <w:spacing w:line="232" w:lineRule="auto"/>
      </w:pPr>
    </w:p>
    <w:p w:rsidR="00737AD6" w:rsidRPr="00EC20F8" w:rsidRDefault="00737AD6" w:rsidP="00737AD6">
      <w:pPr>
        <w:autoSpaceDE w:val="0"/>
        <w:autoSpaceDN w:val="0"/>
        <w:adjustRightInd w:val="0"/>
        <w:spacing w:line="240" w:lineRule="auto"/>
        <w:jc w:val="center"/>
        <w:outlineLvl w:val="0"/>
        <w:rPr>
          <w:rFonts w:ascii="Times New Roman" w:hAnsi="Times New Roman" w:cs="Times New Roman"/>
          <w:sz w:val="28"/>
          <w:szCs w:val="28"/>
        </w:rPr>
      </w:pPr>
      <w:bookmarkStart w:id="138" w:name="_Toc368988921"/>
      <w:bookmarkStart w:id="139" w:name="_Toc400529688"/>
      <w:r w:rsidRPr="00EC20F8">
        <w:rPr>
          <w:rFonts w:ascii="Times New Roman" w:hAnsi="Times New Roman" w:cs="Times New Roman"/>
          <w:sz w:val="28"/>
          <w:szCs w:val="28"/>
        </w:rPr>
        <w:t>19.2. Благоустройство</w:t>
      </w:r>
      <w:bookmarkEnd w:id="138"/>
      <w:bookmarkEnd w:id="139"/>
    </w:p>
    <w:p w:rsidR="00737AD6" w:rsidRPr="00EC20F8" w:rsidRDefault="00737AD6" w:rsidP="00737AD6">
      <w:pPr>
        <w:autoSpaceDE w:val="0"/>
        <w:autoSpaceDN w:val="0"/>
        <w:adjustRightInd w:val="0"/>
        <w:ind w:firstLine="709"/>
        <w:contextualSpacing/>
        <w:jc w:val="both"/>
        <w:rPr>
          <w:rFonts w:ascii="Times New Roman" w:hAnsi="Times New Roman" w:cs="Times New Roman"/>
          <w:sz w:val="28"/>
          <w:szCs w:val="28"/>
        </w:rPr>
      </w:pPr>
    </w:p>
    <w:p w:rsidR="00737AD6" w:rsidRPr="00EC20F8" w:rsidRDefault="00737AD6" w:rsidP="00D81942">
      <w:pPr>
        <w:autoSpaceDE w:val="0"/>
        <w:autoSpaceDN w:val="0"/>
        <w:adjustRightInd w:val="0"/>
        <w:spacing w:line="240" w:lineRule="auto"/>
        <w:ind w:firstLine="709"/>
        <w:contextualSpacing/>
        <w:jc w:val="both"/>
        <w:rPr>
          <w:rFonts w:ascii="Times New Roman" w:hAnsi="Times New Roman" w:cs="Times New Roman"/>
          <w:sz w:val="28"/>
          <w:szCs w:val="28"/>
        </w:rPr>
      </w:pPr>
      <w:r w:rsidRPr="00EC20F8">
        <w:rPr>
          <w:rFonts w:ascii="Times New Roman" w:hAnsi="Times New Roman" w:cs="Times New Roman"/>
          <w:sz w:val="28"/>
          <w:szCs w:val="28"/>
        </w:rPr>
        <w:t xml:space="preserve">Деятельность администрации городского округа в сфере благоустройства территории городского округа направлена на осуществления ремонта и содержания городских объектов благоустройства. </w:t>
      </w:r>
    </w:p>
    <w:p w:rsidR="00737AD6" w:rsidRPr="00EC20F8" w:rsidRDefault="00737AD6" w:rsidP="00D81942">
      <w:pPr>
        <w:spacing w:line="240" w:lineRule="auto"/>
        <w:ind w:firstLine="709"/>
        <w:jc w:val="both"/>
        <w:rPr>
          <w:rFonts w:ascii="Times New Roman" w:hAnsi="Times New Roman" w:cs="Times New Roman"/>
          <w:spacing w:val="-2"/>
          <w:sz w:val="28"/>
          <w:szCs w:val="28"/>
        </w:rPr>
      </w:pPr>
      <w:r w:rsidRPr="00EC20F8">
        <w:rPr>
          <w:rFonts w:ascii="Times New Roman" w:hAnsi="Times New Roman" w:cs="Times New Roman"/>
          <w:sz w:val="28"/>
          <w:szCs w:val="28"/>
        </w:rPr>
        <w:t xml:space="preserve">Для реализации данной деятельности в 2013 году действовали три целевые программы: ДМЦП «Отходы на 2010-2014 годы», МДЦП «Комплексное благоустройство </w:t>
      </w:r>
      <w:proofErr w:type="gramStart"/>
      <w:r w:rsidRPr="00EC20F8">
        <w:rPr>
          <w:rFonts w:ascii="Times New Roman" w:hAnsi="Times New Roman" w:cs="Times New Roman"/>
          <w:sz w:val="28"/>
          <w:szCs w:val="28"/>
        </w:rPr>
        <w:t>Петропавловск-Камчатского</w:t>
      </w:r>
      <w:proofErr w:type="gramEnd"/>
      <w:r w:rsidRPr="00EC20F8">
        <w:rPr>
          <w:rFonts w:ascii="Times New Roman" w:hAnsi="Times New Roman" w:cs="Times New Roman"/>
          <w:sz w:val="28"/>
          <w:szCs w:val="28"/>
        </w:rPr>
        <w:t xml:space="preserve"> городского округа на 2013-2016 годы» и МДЦП «Сохранение и развитие культуры в Петропавловск-Камчатском городском округе на 2011-2015 годы». </w:t>
      </w:r>
    </w:p>
    <w:p w:rsidR="00737AD6" w:rsidRPr="00EC20F8" w:rsidRDefault="00737AD6" w:rsidP="00D81942">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В рамках программ реализованы мероприятия по следующим направлениям:</w:t>
      </w:r>
    </w:p>
    <w:p w:rsidR="00737AD6" w:rsidRPr="00EC20F8" w:rsidRDefault="00737AD6" w:rsidP="00D81942">
      <w:pPr>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lang w:eastAsia="ru-RU"/>
        </w:rPr>
        <w:t xml:space="preserve">- в целях восстановления разрушенных структурно-планировочных элементов благоустройства: проведены работы по </w:t>
      </w:r>
      <w:r w:rsidRPr="00EC20F8">
        <w:rPr>
          <w:rFonts w:ascii="Times New Roman" w:eastAsia="Calibri" w:hAnsi="Times New Roman"/>
          <w:sz w:val="28"/>
          <w:szCs w:val="28"/>
        </w:rPr>
        <w:t>капитальному ремонту подпорных стен</w:t>
      </w:r>
      <w:r w:rsidRPr="00EC20F8">
        <w:rPr>
          <w:rFonts w:ascii="Times New Roman" w:hAnsi="Times New Roman" w:cs="Times New Roman"/>
          <w:sz w:val="28"/>
          <w:szCs w:val="28"/>
          <w:lang w:eastAsia="ru-RU"/>
        </w:rPr>
        <w:t xml:space="preserve"> (включая подготовку проектно-сметной документации на капитальный ремонт); реконструированы и отремонтированы 7</w:t>
      </w:r>
      <w:r w:rsidRPr="00EC20F8">
        <w:rPr>
          <w:rFonts w:ascii="Times New Roman" w:hAnsi="Times New Roman" w:cs="Times New Roman"/>
          <w:sz w:val="28"/>
          <w:szCs w:val="28"/>
        </w:rPr>
        <w:t xml:space="preserve"> лестничных перехода; восстановлены 43 детские площадки общей площадью 30,52 тыс. кв. метров, на 20 детских площадках были проведены мероприятия по текущему ремонту</w:t>
      </w:r>
      <w:r w:rsidRPr="00EC20F8">
        <w:rPr>
          <w:rFonts w:ascii="Times New Roman" w:hAnsi="Times New Roman" w:cs="Times New Roman"/>
          <w:sz w:val="28"/>
          <w:szCs w:val="28"/>
          <w:lang w:eastAsia="ru-RU"/>
        </w:rPr>
        <w:t>;</w:t>
      </w:r>
      <w:proofErr w:type="gramEnd"/>
      <w:r w:rsidRPr="00EC20F8">
        <w:t xml:space="preserve"> </w:t>
      </w:r>
      <w:proofErr w:type="gramStart"/>
      <w:r w:rsidRPr="00EC20F8">
        <w:rPr>
          <w:rFonts w:ascii="Times New Roman" w:hAnsi="Times New Roman" w:cs="Times New Roman"/>
          <w:sz w:val="28"/>
          <w:szCs w:val="28"/>
        </w:rPr>
        <w:t xml:space="preserve">установлены ограждения объектов социальной сферы 6 134,34 кв. метров; установлены, реконструированы и отремонтированы линии наружного освещения </w:t>
      </w:r>
      <w:r w:rsidR="007D7309" w:rsidRPr="00EC20F8">
        <w:rPr>
          <w:rFonts w:ascii="Times New Roman" w:hAnsi="Times New Roman" w:cs="Times New Roman"/>
          <w:sz w:val="28"/>
          <w:szCs w:val="28"/>
        </w:rPr>
        <w:t>протяженностью</w:t>
      </w:r>
      <w:r w:rsidRPr="00EC20F8">
        <w:rPr>
          <w:rFonts w:ascii="Times New Roman" w:hAnsi="Times New Roman" w:cs="Times New Roman"/>
          <w:sz w:val="28"/>
          <w:szCs w:val="28"/>
        </w:rPr>
        <w:t xml:space="preserve"> 30,76 км; выполнены работы по благоустройству мест массового отдыха горожан, в т.ч. проектные работы по устройству: сквера и спортивной площадки по ул. Горького, благоустройство территории в районе ул. Ларина; </w:t>
      </w:r>
      <w:proofErr w:type="gramEnd"/>
    </w:p>
    <w:p w:rsidR="00737AD6" w:rsidRPr="00EC20F8" w:rsidRDefault="00737AD6" w:rsidP="00D81942">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в части озеленения и ландшафтного оформления улиц, парков, площадей городского округа: обустроены цветники общей площадью 5,05</w:t>
      </w:r>
      <w:r w:rsidRPr="00EC20F8">
        <w:rPr>
          <w:rFonts w:ascii="Times New Roman" w:hAnsi="Times New Roman" w:cs="Times New Roman"/>
          <w:b/>
          <w:bCs/>
          <w:sz w:val="28"/>
          <w:szCs w:val="28"/>
        </w:rPr>
        <w:t xml:space="preserve"> </w:t>
      </w:r>
      <w:r w:rsidRPr="00EC20F8">
        <w:rPr>
          <w:rFonts w:ascii="Times New Roman" w:hAnsi="Times New Roman" w:cs="Times New Roman"/>
          <w:sz w:val="28"/>
          <w:szCs w:val="28"/>
        </w:rPr>
        <w:t xml:space="preserve">тыс. кв. метров; </w:t>
      </w:r>
      <w:r w:rsidR="00990E00" w:rsidRPr="00EC20F8">
        <w:rPr>
          <w:rFonts w:ascii="Times New Roman" w:hAnsi="Times New Roman" w:cs="Times New Roman"/>
          <w:sz w:val="28"/>
          <w:szCs w:val="28"/>
        </w:rPr>
        <w:t xml:space="preserve">установлены напольные </w:t>
      </w:r>
      <w:r w:rsidRPr="00EC20F8">
        <w:rPr>
          <w:rFonts w:ascii="Times New Roman" w:hAnsi="Times New Roman" w:cs="Times New Roman"/>
          <w:sz w:val="28"/>
          <w:szCs w:val="28"/>
        </w:rPr>
        <w:t>и подвесные вазоны в количестве 200 штук;</w:t>
      </w:r>
      <w:r w:rsidRPr="00EC20F8">
        <w:rPr>
          <w:rFonts w:ascii="Times New Roman" w:hAnsi="Times New Roman" w:cs="Times New Roman"/>
          <w:b/>
          <w:bCs/>
          <w:sz w:val="28"/>
          <w:szCs w:val="28"/>
        </w:rPr>
        <w:t xml:space="preserve"> </w:t>
      </w:r>
      <w:r w:rsidRPr="00EC20F8">
        <w:rPr>
          <w:rFonts w:ascii="Times New Roman" w:hAnsi="Times New Roman" w:cs="Times New Roman"/>
          <w:sz w:val="28"/>
          <w:szCs w:val="28"/>
        </w:rPr>
        <w:t xml:space="preserve"> посажено 390 деревьев и 965 кустарников по пр. Победы и ул. Тушканова и произведена формовочная обрезка; </w:t>
      </w:r>
      <w:r w:rsidR="00990E00" w:rsidRPr="00EC20F8">
        <w:rPr>
          <w:rFonts w:ascii="Times New Roman" w:hAnsi="Times New Roman" w:cs="Times New Roman"/>
          <w:sz w:val="28"/>
          <w:szCs w:val="28"/>
        </w:rPr>
        <w:t xml:space="preserve">благоустроено </w:t>
      </w:r>
      <w:r w:rsidRPr="00EC20F8">
        <w:rPr>
          <w:rFonts w:ascii="Times New Roman" w:hAnsi="Times New Roman" w:cs="Times New Roman"/>
          <w:sz w:val="28"/>
          <w:szCs w:val="28"/>
        </w:rPr>
        <w:t>4,071 тыс. кв. метров откосов (восстановление и посев газонов);</w:t>
      </w:r>
    </w:p>
    <w:p w:rsidR="00737AD6" w:rsidRPr="00EC20F8" w:rsidRDefault="00990E00" w:rsidP="00D81942">
      <w:pPr>
        <w:tabs>
          <w:tab w:val="left" w:pos="993"/>
        </w:tabs>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 </w:t>
      </w:r>
      <w:r w:rsidR="00737AD6" w:rsidRPr="00EC20F8">
        <w:rPr>
          <w:rFonts w:ascii="Times New Roman" w:hAnsi="Times New Roman" w:cs="Times New Roman"/>
          <w:sz w:val="28"/>
          <w:szCs w:val="28"/>
        </w:rPr>
        <w:t>для улучшения экологических, санитарно-гигиенических условий на территории городского округа проведены мероприятия: по ликвидации несанкционированных свалок (ликвидировано 67 несанкционированных свалок, общим объемом 116 128,1 куб. метров); по сбору, вывозу и утилизации отработанных автомобильных покрышек и ртутьсодержащих ламп  (собрано 327 206,7 кг автомобильных покрышек и 201,8 тыс. единиц ртутьсодержащих ламп).</w:t>
      </w:r>
      <w:proofErr w:type="gramEnd"/>
      <w:r w:rsidR="00737AD6" w:rsidRPr="00EC20F8">
        <w:rPr>
          <w:rFonts w:ascii="Times New Roman" w:hAnsi="Times New Roman" w:cs="Times New Roman"/>
          <w:sz w:val="28"/>
          <w:szCs w:val="28"/>
        </w:rPr>
        <w:t xml:space="preserve"> П</w:t>
      </w:r>
      <w:r w:rsidR="00737AD6" w:rsidRPr="00EC20F8">
        <w:rPr>
          <w:rFonts w:ascii="Times New Roman" w:hAnsi="Times New Roman"/>
          <w:sz w:val="28"/>
          <w:szCs w:val="28"/>
        </w:rPr>
        <w:t xml:space="preserve">риобретено 3 мусоровоза различной модификации, 119 контейнеров, </w:t>
      </w:r>
      <w:proofErr w:type="spellStart"/>
      <w:r w:rsidR="00737AD6" w:rsidRPr="00EC20F8">
        <w:rPr>
          <w:rFonts w:ascii="Times New Roman" w:hAnsi="Times New Roman"/>
          <w:sz w:val="28"/>
          <w:szCs w:val="28"/>
        </w:rPr>
        <w:t>евроконтейнеров</w:t>
      </w:r>
      <w:proofErr w:type="spellEnd"/>
      <w:r w:rsidR="00737AD6" w:rsidRPr="00EC20F8">
        <w:rPr>
          <w:rFonts w:ascii="Times New Roman" w:hAnsi="Times New Roman"/>
          <w:sz w:val="28"/>
          <w:szCs w:val="28"/>
        </w:rPr>
        <w:t xml:space="preserve"> и бункеров, </w:t>
      </w:r>
      <w:r w:rsidR="00737AD6" w:rsidRPr="00EC20F8">
        <w:rPr>
          <w:rFonts w:ascii="Times New Roman" w:hAnsi="Times New Roman" w:cs="Times New Roman"/>
          <w:sz w:val="28"/>
          <w:szCs w:val="28"/>
        </w:rPr>
        <w:t xml:space="preserve"> обустроено 63 площадки для сбора твердых бытовых отходов (далее – ТБО);</w:t>
      </w:r>
    </w:p>
    <w:p w:rsidR="00737AD6" w:rsidRPr="00EC20F8" w:rsidRDefault="00737AD6" w:rsidP="00D81942">
      <w:pPr>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 осуществлялась очистка от мусора территории мест отдыха горожан (озеро Овальное, озеро Безымянное, озеро </w:t>
      </w:r>
      <w:proofErr w:type="spellStart"/>
      <w:r w:rsidRPr="00EC20F8">
        <w:rPr>
          <w:rFonts w:ascii="Times New Roman" w:hAnsi="Times New Roman" w:cs="Times New Roman"/>
          <w:sz w:val="28"/>
          <w:szCs w:val="28"/>
        </w:rPr>
        <w:t>Халактырское</w:t>
      </w:r>
      <w:proofErr w:type="spellEnd"/>
      <w:r w:rsidRPr="00EC20F8">
        <w:rPr>
          <w:rFonts w:ascii="Times New Roman" w:hAnsi="Times New Roman" w:cs="Times New Roman"/>
          <w:sz w:val="28"/>
          <w:szCs w:val="28"/>
        </w:rPr>
        <w:t>, сопка Мишенная) и очистка от выявленных стихийных свалок откосов  дорог противопожарного назначения и других участков, расположенных на территории городских лесов.</w:t>
      </w:r>
      <w:proofErr w:type="gramEnd"/>
    </w:p>
    <w:p w:rsidR="00737AD6" w:rsidRPr="00EC20F8" w:rsidRDefault="00737AD6" w:rsidP="00D81942">
      <w:pPr>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В рамках мероприятий по содержанию и текущему ремонту объектов благоустройства территории городского округа в 2013 году осуществлялся комплекс мероприятий по зимнему и летнему содержанию объектов благоустройства.</w:t>
      </w:r>
      <w:proofErr w:type="gramEnd"/>
    </w:p>
    <w:p w:rsidR="00F31AB5" w:rsidRPr="00EC20F8" w:rsidRDefault="00F31AB5" w:rsidP="00F31AB5">
      <w:pPr>
        <w:autoSpaceDE w:val="0"/>
        <w:autoSpaceDN w:val="0"/>
        <w:adjustRightInd w:val="0"/>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b/>
          <w:bCs/>
          <w:i/>
          <w:iCs/>
          <w:sz w:val="28"/>
          <w:szCs w:val="28"/>
        </w:rPr>
        <w:t>В 2014 году</w:t>
      </w:r>
      <w:r w:rsidRPr="00EC20F8">
        <w:rPr>
          <w:rFonts w:ascii="Times New Roman" w:hAnsi="Times New Roman" w:cs="Times New Roman"/>
          <w:sz w:val="28"/>
          <w:szCs w:val="28"/>
        </w:rPr>
        <w:t xml:space="preserve"> в целях улучшения внешнего облика городского округа, модернизации объектов благоустройства, улучшения их эксплуатационного состояния,  в сфере благоустройства городского округа реализуется подпрограмма 3 «Комплексное благоустройство Петропавловск-Камчатского городского округа» муниципальной программы «Энергоэффективность, развитие энергетики и коммунального хозяйства, обеспечение жителей Петропавловск-Камчатского городского округа коммунальными услугами, услугами по благоустройству территории и охрана окружающей среды».</w:t>
      </w:r>
      <w:proofErr w:type="gramEnd"/>
    </w:p>
    <w:p w:rsidR="00F31AB5" w:rsidRPr="00EC20F8" w:rsidRDefault="00F31AB5" w:rsidP="00F31AB5">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xml:space="preserve">В рамках программы планируется реализовать: </w:t>
      </w:r>
    </w:p>
    <w:p w:rsidR="00F31AB5" w:rsidRPr="00EC20F8" w:rsidRDefault="00F31AB5" w:rsidP="00F31AB5">
      <w:pPr>
        <w:widowControl w:val="0"/>
        <w:autoSpaceDE w:val="0"/>
        <w:autoSpaceDN w:val="0"/>
        <w:adjustRightInd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мероприятия по содержанию, капитальному, текущему ремонту и устройству линий  наружного уличного освещения;</w:t>
      </w:r>
    </w:p>
    <w:p w:rsidR="00F31AB5" w:rsidRPr="00EC20F8" w:rsidRDefault="00F31AB5" w:rsidP="00F31AB5">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мероприятия по содержанию, капитальному, текущему ремонту и установке объектов благоустройства, в том числе: реконструировать и отремонтировать подпорные стены в количестве 5 единиц и лестничные переходы в количестве 11 единиц; восстановить и обустроить 48 детских площадок площадью 41 426,3 кв. метров;</w:t>
      </w:r>
    </w:p>
    <w:p w:rsidR="00F31AB5" w:rsidRPr="00EC20F8" w:rsidRDefault="00F31AB5" w:rsidP="00F31AB5">
      <w:pPr>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 мероприятия по благоустройству объектов и территорий городского округа, в том числе: установка напольных и подвесных вазонов в количестве 420 единиц; восстановление и посев газона площадью 4 071,2 кв. метров;  </w:t>
      </w:r>
      <w:proofErr w:type="gramEnd"/>
    </w:p>
    <w:p w:rsidR="00F31AB5" w:rsidRPr="00EC20F8" w:rsidRDefault="00F31AB5" w:rsidP="00F31AB5">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мероприятия по благоустройству мест массового отдыха горожан;</w:t>
      </w:r>
    </w:p>
    <w:p w:rsidR="00F31AB5" w:rsidRPr="00EC20F8" w:rsidRDefault="00F31AB5" w:rsidP="00F31AB5">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мероприятия по устройству ограждений объектов и территорий городского округа общей протяженностью 8 895,4 метров погонных;</w:t>
      </w:r>
    </w:p>
    <w:p w:rsidR="00F31AB5" w:rsidRPr="00EC20F8" w:rsidRDefault="00F31AB5" w:rsidP="00F31AB5">
      <w:pPr>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sz w:val="28"/>
          <w:szCs w:val="28"/>
        </w:rPr>
        <w:t xml:space="preserve">- мероприятия по приобретению в муниципальную собственность и установке объектов движимого имущества, в том числе: специализированной техники в количестве 5 единиц; контейнеров, </w:t>
      </w:r>
      <w:proofErr w:type="spellStart"/>
      <w:r w:rsidRPr="00EC20F8">
        <w:rPr>
          <w:rFonts w:ascii="Times New Roman" w:hAnsi="Times New Roman" w:cs="Times New Roman"/>
          <w:sz w:val="28"/>
          <w:szCs w:val="28"/>
        </w:rPr>
        <w:t>евроконтейнеров</w:t>
      </w:r>
      <w:proofErr w:type="spellEnd"/>
      <w:r w:rsidRPr="00EC20F8">
        <w:rPr>
          <w:rFonts w:ascii="Times New Roman" w:hAnsi="Times New Roman" w:cs="Times New Roman"/>
          <w:sz w:val="28"/>
          <w:szCs w:val="28"/>
        </w:rPr>
        <w:t xml:space="preserve"> и бункеров в количестве 140 единиц; беседок для КГО в количестве 25 единиц; заглубленных контейнеров в количестве 41 единица; контейнерны</w:t>
      </w:r>
      <w:r w:rsidR="005713EE" w:rsidRPr="00EC20F8">
        <w:rPr>
          <w:rFonts w:ascii="Times New Roman" w:hAnsi="Times New Roman" w:cs="Times New Roman"/>
          <w:sz w:val="28"/>
          <w:szCs w:val="28"/>
        </w:rPr>
        <w:t xml:space="preserve">х </w:t>
      </w:r>
      <w:r w:rsidRPr="00EC20F8">
        <w:rPr>
          <w:rFonts w:ascii="Times New Roman" w:hAnsi="Times New Roman" w:cs="Times New Roman"/>
          <w:sz w:val="28"/>
          <w:szCs w:val="28"/>
        </w:rPr>
        <w:t>площад</w:t>
      </w:r>
      <w:r w:rsidR="005713EE" w:rsidRPr="00EC20F8">
        <w:rPr>
          <w:rFonts w:ascii="Times New Roman" w:hAnsi="Times New Roman" w:cs="Times New Roman"/>
          <w:sz w:val="28"/>
          <w:szCs w:val="28"/>
        </w:rPr>
        <w:t>ок</w:t>
      </w:r>
      <w:r w:rsidRPr="00EC20F8">
        <w:rPr>
          <w:rFonts w:ascii="Times New Roman" w:hAnsi="Times New Roman" w:cs="Times New Roman"/>
          <w:sz w:val="28"/>
          <w:szCs w:val="28"/>
        </w:rPr>
        <w:t xml:space="preserve"> для сбора ТБО и КГО в количестве 100 единиц; </w:t>
      </w:r>
      <w:proofErr w:type="gramEnd"/>
    </w:p>
    <w:p w:rsidR="00F31AB5" w:rsidRPr="00EC20F8" w:rsidRDefault="00F31AB5" w:rsidP="00F31AB5">
      <w:pPr>
        <w:widowControl w:val="0"/>
        <w:autoSpaceDE w:val="0"/>
        <w:autoSpaceDN w:val="0"/>
        <w:adjustRightInd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мероприятия по организации ритуальных услуг, устройству площадок;</w:t>
      </w:r>
    </w:p>
    <w:p w:rsidR="00F31AB5" w:rsidRPr="00EC20F8" w:rsidRDefault="00F31AB5" w:rsidP="00F31AB5">
      <w:pPr>
        <w:widowControl w:val="0"/>
        <w:autoSpaceDE w:val="0"/>
        <w:autoSpaceDN w:val="0"/>
        <w:adjustRightInd w:val="0"/>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 мероприятия по содержанию, капитальному, текущему ремонту объектов нежилого фонда муниципальной собственности (муниципальных бюджетных учреждений с отремонтированным асфальтобетонным покрытием в количестве 2 единиц; 25 единиц разработанных проектов на ремонт подпорных стен; 17 единиц реконструированных и отремонтированных подпорных стен).</w:t>
      </w:r>
    </w:p>
    <w:p w:rsidR="00F31AB5" w:rsidRPr="00EC20F8" w:rsidRDefault="00F31AB5" w:rsidP="00F31AB5">
      <w:pPr>
        <w:spacing w:line="240" w:lineRule="auto"/>
        <w:ind w:firstLine="709"/>
        <w:jc w:val="both"/>
        <w:rPr>
          <w:rFonts w:ascii="Times New Roman" w:hAnsi="Times New Roman" w:cs="Times New Roman"/>
          <w:sz w:val="28"/>
          <w:szCs w:val="28"/>
        </w:rPr>
      </w:pPr>
      <w:r w:rsidRPr="00EC20F8">
        <w:rPr>
          <w:rFonts w:ascii="Times New Roman" w:hAnsi="Times New Roman" w:cs="Times New Roman"/>
          <w:sz w:val="28"/>
          <w:szCs w:val="28"/>
        </w:rPr>
        <w:t>На 2014 год определен перечень территорий несанкционированных свалок и территорий сбора отработанных покрышек, так в 2014 году планируется ликвидировать несанкционированные свалки объемом 25 832,1 кубических метров, а также собрать и утилизировать автомобильные покрышки в количестве 1 843 шт. и объемом 27 654 кг.</w:t>
      </w:r>
    </w:p>
    <w:p w:rsidR="00F31AB5" w:rsidRPr="00EC20F8" w:rsidRDefault="00F31AB5" w:rsidP="00F31AB5">
      <w:pPr>
        <w:tabs>
          <w:tab w:val="left" w:pos="1134"/>
        </w:tabs>
        <w:spacing w:line="240" w:lineRule="auto"/>
        <w:ind w:firstLine="709"/>
        <w:jc w:val="both"/>
        <w:rPr>
          <w:rFonts w:ascii="Times New Roman" w:hAnsi="Times New Roman" w:cs="Times New Roman"/>
          <w:sz w:val="28"/>
          <w:szCs w:val="28"/>
        </w:rPr>
      </w:pPr>
      <w:proofErr w:type="gramStart"/>
      <w:r w:rsidRPr="00EC20F8">
        <w:rPr>
          <w:rFonts w:ascii="Times New Roman" w:hAnsi="Times New Roman" w:cs="Times New Roman"/>
          <w:b/>
          <w:i/>
          <w:sz w:val="28"/>
          <w:szCs w:val="28"/>
        </w:rPr>
        <w:t>В прогнозном периоде</w:t>
      </w:r>
      <w:r w:rsidRPr="00EC20F8">
        <w:rPr>
          <w:rFonts w:ascii="Times New Roman" w:hAnsi="Times New Roman" w:cs="Times New Roman"/>
          <w:b/>
          <w:sz w:val="28"/>
          <w:szCs w:val="28"/>
        </w:rPr>
        <w:t xml:space="preserve"> </w:t>
      </w:r>
      <w:r w:rsidRPr="00EC20F8">
        <w:rPr>
          <w:rFonts w:ascii="Times New Roman" w:hAnsi="Times New Roman" w:cs="Times New Roman"/>
          <w:sz w:val="28"/>
          <w:szCs w:val="28"/>
        </w:rPr>
        <w:t>в целях улучшения внешнего облика городского округа, модернизации объектов благоустройства, улучшения их эксплуатационного состояния,  в сфере благоустройства городского округа будут реализовываться мероприятия подпрограмм</w:t>
      </w:r>
      <w:r w:rsidR="005713EE" w:rsidRPr="00EC20F8">
        <w:rPr>
          <w:rFonts w:ascii="Times New Roman" w:hAnsi="Times New Roman" w:cs="Times New Roman"/>
          <w:sz w:val="28"/>
          <w:szCs w:val="28"/>
        </w:rPr>
        <w:t>ы</w:t>
      </w:r>
      <w:r w:rsidRPr="00EC20F8">
        <w:rPr>
          <w:rFonts w:ascii="Times New Roman" w:hAnsi="Times New Roman" w:cs="Times New Roman"/>
          <w:sz w:val="28"/>
          <w:szCs w:val="28"/>
        </w:rPr>
        <w:t xml:space="preserve"> 3 «Комплексное благоустройство Петропавловск-Камчатского городского округа» и подпрограмм</w:t>
      </w:r>
      <w:r w:rsidR="005713EE" w:rsidRPr="00EC20F8">
        <w:rPr>
          <w:rFonts w:ascii="Times New Roman" w:hAnsi="Times New Roman" w:cs="Times New Roman"/>
          <w:sz w:val="28"/>
          <w:szCs w:val="28"/>
        </w:rPr>
        <w:t>ы</w:t>
      </w:r>
      <w:r w:rsidRPr="00EC20F8">
        <w:rPr>
          <w:rFonts w:ascii="Times New Roman" w:hAnsi="Times New Roman" w:cs="Times New Roman"/>
          <w:sz w:val="28"/>
          <w:szCs w:val="28"/>
        </w:rPr>
        <w:t xml:space="preserve"> 4 «Ликвидация экологического ущерба от накопленного объема бытовых и промышленных отходов» муниципальной программы «Энергоэффективность, развитие энергетики и коммунального хозяйства, обеспечение жителей Петропавловск-Камчатского городского округа коммунальными услугами</w:t>
      </w:r>
      <w:proofErr w:type="gramEnd"/>
      <w:r w:rsidRPr="00EC20F8">
        <w:rPr>
          <w:rFonts w:ascii="Times New Roman" w:hAnsi="Times New Roman" w:cs="Times New Roman"/>
          <w:sz w:val="28"/>
          <w:szCs w:val="28"/>
        </w:rPr>
        <w:t>, услугами по благоустройству территории и охрана окружающей среды».</w:t>
      </w:r>
    </w:p>
    <w:p w:rsidR="00F31AB5" w:rsidRPr="00EC20F8" w:rsidRDefault="00F31AB5" w:rsidP="00F31AB5">
      <w:pPr>
        <w:tabs>
          <w:tab w:val="left" w:pos="7230"/>
        </w:tabs>
        <w:suppressAutoHyphens/>
        <w:ind w:firstLine="851"/>
        <w:jc w:val="both"/>
        <w:rPr>
          <w:rFonts w:ascii="Times New Roman" w:hAnsi="Times New Roman" w:cs="Times New Roman"/>
          <w:b/>
          <w:sz w:val="28"/>
          <w:szCs w:val="28"/>
        </w:rPr>
      </w:pPr>
      <w:proofErr w:type="gramStart"/>
      <w:r w:rsidRPr="00EC20F8">
        <w:rPr>
          <w:rFonts w:ascii="Times New Roman" w:hAnsi="Times New Roman" w:cs="Times New Roman"/>
          <w:spacing w:val="-6"/>
          <w:sz w:val="28"/>
          <w:szCs w:val="28"/>
        </w:rPr>
        <w:t xml:space="preserve">Основными мероприятиями </w:t>
      </w:r>
      <w:r w:rsidRPr="00EC20F8">
        <w:rPr>
          <w:rFonts w:ascii="Times New Roman" w:hAnsi="Times New Roman" w:cs="Times New Roman"/>
          <w:sz w:val="28"/>
          <w:szCs w:val="28"/>
        </w:rPr>
        <w:t xml:space="preserve">программы на среднесрочный период </w:t>
      </w:r>
      <w:r w:rsidRPr="00EC20F8">
        <w:rPr>
          <w:rFonts w:ascii="Times New Roman" w:hAnsi="Times New Roman" w:cs="Times New Roman"/>
          <w:spacing w:val="-6"/>
          <w:sz w:val="28"/>
          <w:szCs w:val="28"/>
        </w:rPr>
        <w:t>являются:</w:t>
      </w:r>
      <w:r w:rsidRPr="00EC20F8">
        <w:rPr>
          <w:rFonts w:ascii="Times New Roman" w:hAnsi="Times New Roman" w:cs="Times New Roman"/>
          <w:sz w:val="28"/>
          <w:szCs w:val="28"/>
        </w:rPr>
        <w:t xml:space="preserve"> содержание, капитальный, текущий ремонт и устройство линий наружного уличного освещения; содержание, капитальный, текущий ремонт и установка объектов благоустройства; ликвидация движимого и недвижимого имущества; благоустройство объектов и территорий городского округа; благоустройство мест массового отдыха горожан; устройство ограждений объектов и территорий городского округа;</w:t>
      </w:r>
      <w:proofErr w:type="gramEnd"/>
      <w:r w:rsidRPr="00EC20F8">
        <w:rPr>
          <w:rFonts w:ascii="Times New Roman" w:hAnsi="Times New Roman" w:cs="Times New Roman"/>
          <w:sz w:val="28"/>
          <w:szCs w:val="28"/>
        </w:rPr>
        <w:t xml:space="preserve"> </w:t>
      </w:r>
      <w:proofErr w:type="gramStart"/>
      <w:r w:rsidRPr="00EC20F8">
        <w:rPr>
          <w:rFonts w:ascii="Times New Roman" w:hAnsi="Times New Roman" w:cs="Times New Roman"/>
          <w:sz w:val="28"/>
          <w:szCs w:val="28"/>
        </w:rPr>
        <w:t>содержание, капитальный, текущий ремонт объектов нежилого фонда муниципальной собственности; организация ритуальных услуг, устройство площадок; осуществление капитальных вложений в объекты нежилого фонда (в том числе муниципальной и иных форм собственности</w:t>
      </w:r>
      <w:r w:rsidR="004271AF" w:rsidRPr="00EC20F8">
        <w:rPr>
          <w:rFonts w:ascii="Times New Roman" w:hAnsi="Times New Roman" w:cs="Times New Roman"/>
          <w:sz w:val="28"/>
          <w:szCs w:val="28"/>
        </w:rPr>
        <w:t>)</w:t>
      </w:r>
      <w:r w:rsidRPr="00EC20F8">
        <w:rPr>
          <w:rFonts w:ascii="Times New Roman" w:hAnsi="Times New Roman" w:cs="Times New Roman"/>
          <w:sz w:val="28"/>
          <w:szCs w:val="28"/>
        </w:rPr>
        <w:t>; приобретение в муниципальную собственность и установка объектов движимого имущества; обеспечение реализации муниципальных услуг</w:t>
      </w:r>
      <w:r w:rsidR="00BD5406" w:rsidRPr="00EC20F8">
        <w:rPr>
          <w:rFonts w:ascii="Times New Roman" w:hAnsi="Times New Roman" w:cs="Times New Roman"/>
          <w:sz w:val="28"/>
          <w:szCs w:val="28"/>
        </w:rPr>
        <w:t>,</w:t>
      </w:r>
      <w:r w:rsidRPr="00EC20F8">
        <w:rPr>
          <w:rFonts w:ascii="Times New Roman" w:hAnsi="Times New Roman" w:cs="Times New Roman"/>
          <w:sz w:val="28"/>
          <w:szCs w:val="28"/>
        </w:rPr>
        <w:t xml:space="preserve"> функций, в том числе по выполнению государственных полномочий Камчатского края (содержание муниципальных учреждений городского округа);</w:t>
      </w:r>
      <w:proofErr w:type="gramEnd"/>
      <w:r w:rsidRPr="00EC20F8">
        <w:rPr>
          <w:rFonts w:ascii="Times New Roman" w:hAnsi="Times New Roman" w:cs="Times New Roman"/>
          <w:sz w:val="28"/>
          <w:szCs w:val="28"/>
        </w:rPr>
        <w:t xml:space="preserve"> сбор, вывоз, утилизация отходов и санитарная обработка. </w:t>
      </w:r>
    </w:p>
    <w:p w:rsidR="00F31AB5" w:rsidRPr="00EC20F8" w:rsidRDefault="00F31AB5" w:rsidP="00F31AB5">
      <w:pPr>
        <w:rPr>
          <w:sz w:val="28"/>
          <w:szCs w:val="28"/>
        </w:rPr>
      </w:pPr>
    </w:p>
    <w:p w:rsidR="00660F7A" w:rsidRPr="00EC20F8" w:rsidRDefault="00660F7A" w:rsidP="00660F7A">
      <w:pPr>
        <w:autoSpaceDE w:val="0"/>
        <w:autoSpaceDN w:val="0"/>
        <w:adjustRightInd w:val="0"/>
        <w:spacing w:line="240" w:lineRule="auto"/>
        <w:jc w:val="center"/>
        <w:outlineLvl w:val="0"/>
        <w:rPr>
          <w:rFonts w:ascii="Times New Roman" w:hAnsi="Times New Roman" w:cs="Times New Roman"/>
          <w:b/>
          <w:sz w:val="28"/>
          <w:szCs w:val="28"/>
        </w:rPr>
      </w:pPr>
      <w:bookmarkStart w:id="140" w:name="_Toc368930240"/>
      <w:bookmarkStart w:id="141" w:name="_Toc368930864"/>
      <w:bookmarkStart w:id="142" w:name="_Toc368988922"/>
      <w:bookmarkStart w:id="143" w:name="_Toc400529689"/>
      <w:bookmarkStart w:id="144" w:name="_Toc368988924"/>
      <w:bookmarkStart w:id="145" w:name="_Toc368930866"/>
      <w:bookmarkStart w:id="146" w:name="_Toc368930242"/>
      <w:r w:rsidRPr="00EC20F8">
        <w:rPr>
          <w:rFonts w:ascii="Times New Roman" w:hAnsi="Times New Roman" w:cs="Times New Roman"/>
          <w:b/>
          <w:sz w:val="28"/>
          <w:szCs w:val="28"/>
        </w:rPr>
        <w:t>20. Экология и охрана окружающей среды</w:t>
      </w:r>
      <w:bookmarkEnd w:id="140"/>
      <w:bookmarkEnd w:id="141"/>
      <w:bookmarkEnd w:id="142"/>
      <w:bookmarkEnd w:id="143"/>
    </w:p>
    <w:p w:rsidR="00660F7A" w:rsidRPr="00EC20F8" w:rsidRDefault="00660F7A" w:rsidP="00660F7A">
      <w:pPr>
        <w:widowControl w:val="0"/>
        <w:spacing w:line="240" w:lineRule="auto"/>
        <w:jc w:val="center"/>
        <w:rPr>
          <w:rFonts w:ascii="Times New Roman" w:eastAsia="Courier New" w:hAnsi="Times New Roman" w:cs="Times New Roman"/>
          <w:b/>
          <w:bCs/>
          <w:sz w:val="24"/>
          <w:szCs w:val="24"/>
          <w:lang w:eastAsia="ru-RU"/>
        </w:rPr>
      </w:pPr>
    </w:p>
    <w:p w:rsidR="00660F7A" w:rsidRPr="00EC20F8" w:rsidRDefault="00660F7A" w:rsidP="00660F7A">
      <w:pPr>
        <w:widowControl w:val="0"/>
        <w:spacing w:line="240" w:lineRule="auto"/>
        <w:ind w:firstLine="851"/>
        <w:jc w:val="both"/>
        <w:rPr>
          <w:rFonts w:ascii="Courier New" w:eastAsia="Courier New" w:hAnsi="Courier New" w:cs="Courier New"/>
          <w:sz w:val="28"/>
          <w:szCs w:val="28"/>
          <w:lang w:eastAsia="ru-RU"/>
        </w:rPr>
      </w:pPr>
      <w:proofErr w:type="gramStart"/>
      <w:r w:rsidRPr="00EC20F8">
        <w:rPr>
          <w:rFonts w:ascii="Times New Roman" w:eastAsia="Courier New" w:hAnsi="Times New Roman" w:cs="Times New Roman"/>
          <w:sz w:val="28"/>
          <w:szCs w:val="28"/>
          <w:lang w:eastAsia="ru-RU"/>
        </w:rPr>
        <w:t>Основными направлениями деятельности в сфере охраны окружающей среды на территории городского округа являются обеспечение экологической безопасности и создание благоприятной среды проживания жителей городского округа.</w:t>
      </w:r>
      <w:proofErr w:type="gramEnd"/>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Основными проблемами, стоящими перед городским округом в сфере экологии, остаются:</w:t>
      </w:r>
    </w:p>
    <w:p w:rsidR="00660F7A" w:rsidRPr="00EC20F8" w:rsidRDefault="00660F7A" w:rsidP="00660F7A">
      <w:pPr>
        <w:widowControl w:val="0"/>
        <w:tabs>
          <w:tab w:val="left" w:pos="1134"/>
        </w:tabs>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w:t>
      </w:r>
      <w:r w:rsidRPr="00EC20F8">
        <w:rPr>
          <w:rFonts w:ascii="Times New Roman" w:eastAsia="Courier New" w:hAnsi="Times New Roman" w:cs="Times New Roman"/>
          <w:sz w:val="28"/>
          <w:szCs w:val="28"/>
          <w:lang w:eastAsia="ru-RU"/>
        </w:rPr>
        <w:tab/>
        <w:t>сбросы неочищенных сточных вод в акваторию Авачинской губы;</w:t>
      </w:r>
    </w:p>
    <w:p w:rsidR="00660F7A" w:rsidRPr="00EC20F8" w:rsidRDefault="00660F7A" w:rsidP="00660F7A">
      <w:pPr>
        <w:widowControl w:val="0"/>
        <w:tabs>
          <w:tab w:val="left" w:pos="1134"/>
        </w:tabs>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w:t>
      </w:r>
      <w:r w:rsidRPr="00EC20F8">
        <w:rPr>
          <w:rFonts w:ascii="Times New Roman" w:eastAsia="Courier New" w:hAnsi="Times New Roman" w:cs="Times New Roman"/>
          <w:sz w:val="28"/>
          <w:szCs w:val="28"/>
          <w:lang w:eastAsia="ru-RU"/>
        </w:rPr>
        <w:tab/>
        <w:t>ситуация со сбором и утилизацией твердых бытовых отходов, включая опасные отходы (в первую очередь, ртутьсодержащие лампы, автомобильные покрышки);</w:t>
      </w:r>
    </w:p>
    <w:p w:rsidR="00660F7A" w:rsidRPr="00EC20F8" w:rsidRDefault="00660F7A" w:rsidP="00660F7A">
      <w:pPr>
        <w:widowControl w:val="0"/>
        <w:tabs>
          <w:tab w:val="left" w:pos="1134"/>
        </w:tabs>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w:t>
      </w:r>
      <w:r w:rsidRPr="00EC20F8">
        <w:rPr>
          <w:rFonts w:ascii="Times New Roman" w:eastAsia="Courier New" w:hAnsi="Times New Roman" w:cs="Times New Roman"/>
          <w:sz w:val="28"/>
          <w:szCs w:val="28"/>
          <w:lang w:eastAsia="ru-RU"/>
        </w:rPr>
        <w:tab/>
        <w:t>нарушение Правил благоустройства в части вопросов охраны окружающей среды (несанкционированные свалки и пр.)</w:t>
      </w:r>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 xml:space="preserve">Сбросы неочищенных сточных вод увеличивают антропогенную нагрузку на водные ресурсы городского округа. Наиболее высокой нагрузке в зоне городского округа подвергаются воды Авачинской губы, озер </w:t>
      </w:r>
      <w:proofErr w:type="spellStart"/>
      <w:r w:rsidRPr="00EC20F8">
        <w:rPr>
          <w:rFonts w:ascii="Times New Roman" w:eastAsia="Courier New" w:hAnsi="Times New Roman" w:cs="Times New Roman"/>
          <w:sz w:val="28"/>
          <w:szCs w:val="28"/>
          <w:lang w:eastAsia="ru-RU"/>
        </w:rPr>
        <w:t>Халактырского</w:t>
      </w:r>
      <w:proofErr w:type="spellEnd"/>
      <w:r w:rsidRPr="00EC20F8">
        <w:rPr>
          <w:rFonts w:ascii="Times New Roman" w:eastAsia="Courier New" w:hAnsi="Times New Roman" w:cs="Times New Roman"/>
          <w:sz w:val="28"/>
          <w:szCs w:val="28"/>
          <w:lang w:eastAsia="ru-RU"/>
        </w:rPr>
        <w:t xml:space="preserve"> и </w:t>
      </w:r>
      <w:proofErr w:type="spellStart"/>
      <w:r w:rsidRPr="00EC20F8">
        <w:rPr>
          <w:rFonts w:ascii="Times New Roman" w:eastAsia="Courier New" w:hAnsi="Times New Roman" w:cs="Times New Roman"/>
          <w:sz w:val="28"/>
          <w:szCs w:val="28"/>
          <w:lang w:eastAsia="ru-RU"/>
        </w:rPr>
        <w:t>Култучного</w:t>
      </w:r>
      <w:proofErr w:type="spellEnd"/>
      <w:r w:rsidRPr="00EC20F8">
        <w:rPr>
          <w:rFonts w:ascii="Times New Roman" w:eastAsia="Courier New" w:hAnsi="Times New Roman" w:cs="Times New Roman"/>
          <w:sz w:val="28"/>
          <w:szCs w:val="28"/>
          <w:lang w:eastAsia="ru-RU"/>
        </w:rPr>
        <w:t xml:space="preserve">, ручьев Кабан, Кирпичный, </w:t>
      </w:r>
      <w:proofErr w:type="spellStart"/>
      <w:r w:rsidRPr="00EC20F8">
        <w:rPr>
          <w:rFonts w:ascii="Times New Roman" w:eastAsia="Courier New" w:hAnsi="Times New Roman" w:cs="Times New Roman"/>
          <w:sz w:val="28"/>
          <w:szCs w:val="28"/>
          <w:lang w:eastAsia="ru-RU"/>
        </w:rPr>
        <w:t>Моховской</w:t>
      </w:r>
      <w:proofErr w:type="spellEnd"/>
      <w:r w:rsidRPr="00EC20F8">
        <w:rPr>
          <w:rFonts w:ascii="Times New Roman" w:eastAsia="Courier New" w:hAnsi="Times New Roman" w:cs="Times New Roman"/>
          <w:sz w:val="28"/>
          <w:szCs w:val="28"/>
          <w:lang w:eastAsia="ru-RU"/>
        </w:rPr>
        <w:t xml:space="preserve">, Совхозный, </w:t>
      </w:r>
      <w:proofErr w:type="spellStart"/>
      <w:r w:rsidRPr="00EC20F8">
        <w:rPr>
          <w:rFonts w:ascii="Times New Roman" w:eastAsia="Courier New" w:hAnsi="Times New Roman" w:cs="Times New Roman"/>
          <w:sz w:val="28"/>
          <w:szCs w:val="28"/>
          <w:lang w:eastAsia="ru-RU"/>
        </w:rPr>
        <w:t>Крутоберегово</w:t>
      </w:r>
      <w:proofErr w:type="spellEnd"/>
      <w:r w:rsidRPr="00EC20F8">
        <w:rPr>
          <w:rFonts w:ascii="Times New Roman" w:eastAsia="Courier New" w:hAnsi="Times New Roman" w:cs="Times New Roman"/>
          <w:sz w:val="28"/>
          <w:szCs w:val="28"/>
          <w:lang w:eastAsia="ru-RU"/>
        </w:rPr>
        <w:t>.</w:t>
      </w:r>
    </w:p>
    <w:p w:rsidR="00660F7A" w:rsidRPr="00EC20F8" w:rsidRDefault="00660F7A" w:rsidP="00660F7A">
      <w:pPr>
        <w:widowControl w:val="0"/>
        <w:autoSpaceDE w:val="0"/>
        <w:autoSpaceDN w:val="0"/>
        <w:adjustRightInd w:val="0"/>
        <w:spacing w:line="240" w:lineRule="auto"/>
        <w:ind w:firstLine="708"/>
        <w:jc w:val="both"/>
        <w:rPr>
          <w:rFonts w:ascii="Times New Roman" w:eastAsia="Calibri" w:hAnsi="Times New Roman" w:cs="Courier New"/>
          <w:sz w:val="28"/>
          <w:szCs w:val="28"/>
          <w:lang w:eastAsia="ru-RU"/>
        </w:rPr>
      </w:pPr>
      <w:r w:rsidRPr="00EC20F8">
        <w:rPr>
          <w:rFonts w:ascii="Times New Roman" w:eastAsia="Courier New" w:hAnsi="Times New Roman" w:cs="Times New Roman"/>
          <w:sz w:val="28"/>
          <w:szCs w:val="28"/>
          <w:lang w:eastAsia="ru-RU"/>
        </w:rPr>
        <w:t xml:space="preserve">В 2013 году, по данным статистики, сброшено 8,2 </w:t>
      </w:r>
      <w:proofErr w:type="spellStart"/>
      <w:proofErr w:type="gramStart"/>
      <w:r w:rsidRPr="00EC20F8">
        <w:rPr>
          <w:rFonts w:ascii="Times New Roman" w:eastAsia="Courier New" w:hAnsi="Times New Roman" w:cs="Times New Roman"/>
          <w:sz w:val="28"/>
          <w:szCs w:val="28"/>
          <w:lang w:eastAsia="ru-RU"/>
        </w:rPr>
        <w:t>млн</w:t>
      </w:r>
      <w:proofErr w:type="spellEnd"/>
      <w:proofErr w:type="gramEnd"/>
      <w:r w:rsidRPr="00EC20F8">
        <w:rPr>
          <w:rFonts w:ascii="Times New Roman" w:eastAsia="Courier New" w:hAnsi="Times New Roman" w:cs="Times New Roman"/>
          <w:sz w:val="28"/>
          <w:szCs w:val="28"/>
          <w:lang w:eastAsia="ru-RU"/>
        </w:rPr>
        <w:t xml:space="preserve"> кубических метров  неочищенных сточных вод в поверхностные водные объекты (9,0 </w:t>
      </w:r>
      <w:proofErr w:type="spellStart"/>
      <w:r w:rsidRPr="00EC20F8">
        <w:rPr>
          <w:rFonts w:ascii="Times New Roman" w:eastAsia="Courier New" w:hAnsi="Times New Roman" w:cs="Times New Roman"/>
          <w:sz w:val="28"/>
          <w:szCs w:val="28"/>
          <w:lang w:eastAsia="ru-RU"/>
        </w:rPr>
        <w:t>млн</w:t>
      </w:r>
      <w:proofErr w:type="spellEnd"/>
      <w:r w:rsidRPr="00EC20F8">
        <w:rPr>
          <w:rFonts w:ascii="Times New Roman" w:eastAsia="Courier New" w:hAnsi="Times New Roman" w:cs="Times New Roman"/>
          <w:sz w:val="28"/>
          <w:szCs w:val="28"/>
          <w:lang w:eastAsia="ru-RU"/>
        </w:rPr>
        <w:t xml:space="preserve"> кубических метров в 2012 году). Для снижения объема сброса загрязненных сточных вод в открытые водоемы в 2013 году за счет средств краевого бюджета и бюджета городского округа </w:t>
      </w:r>
      <w:r w:rsidRPr="00EC20F8">
        <w:rPr>
          <w:rFonts w:ascii="Times New Roman" w:eastAsia="Courier New" w:hAnsi="Times New Roman" w:cs="Courier New"/>
          <w:sz w:val="28"/>
          <w:szCs w:val="28"/>
          <w:lang w:eastAsia="ru-RU"/>
        </w:rPr>
        <w:t xml:space="preserve">проведены </w:t>
      </w:r>
      <w:r w:rsidRPr="00EC20F8">
        <w:rPr>
          <w:rFonts w:ascii="Times New Roman" w:eastAsia="Calibri" w:hAnsi="Times New Roman" w:cs="Courier New"/>
          <w:sz w:val="28"/>
          <w:szCs w:val="28"/>
          <w:lang w:eastAsia="ru-RU"/>
        </w:rPr>
        <w:t xml:space="preserve">работы по реконструкции канализационных очистных сооружений «Чавыча» (53,2 </w:t>
      </w:r>
      <w:proofErr w:type="spellStart"/>
      <w:proofErr w:type="gramStart"/>
      <w:r w:rsidRPr="00EC20F8">
        <w:rPr>
          <w:rFonts w:ascii="Times New Roman" w:eastAsia="Calibri" w:hAnsi="Times New Roman" w:cs="Courier New"/>
          <w:sz w:val="28"/>
          <w:szCs w:val="28"/>
          <w:lang w:eastAsia="ru-RU"/>
        </w:rPr>
        <w:t>млн</w:t>
      </w:r>
      <w:proofErr w:type="spellEnd"/>
      <w:proofErr w:type="gramEnd"/>
      <w:r w:rsidRPr="00EC20F8">
        <w:rPr>
          <w:rFonts w:ascii="Times New Roman" w:eastAsia="Calibri" w:hAnsi="Times New Roman" w:cs="Courier New"/>
          <w:sz w:val="28"/>
          <w:szCs w:val="28"/>
          <w:lang w:eastAsia="ru-RU"/>
        </w:rPr>
        <w:t xml:space="preserve"> рублей), выполнены проектные работы (15,0 </w:t>
      </w:r>
      <w:proofErr w:type="spellStart"/>
      <w:r w:rsidRPr="00EC20F8">
        <w:rPr>
          <w:rFonts w:ascii="Times New Roman" w:eastAsia="Calibri" w:hAnsi="Times New Roman" w:cs="Courier New"/>
          <w:sz w:val="28"/>
          <w:szCs w:val="28"/>
          <w:lang w:eastAsia="ru-RU"/>
        </w:rPr>
        <w:t>млн</w:t>
      </w:r>
      <w:proofErr w:type="spellEnd"/>
      <w:r w:rsidRPr="00EC20F8">
        <w:rPr>
          <w:rFonts w:ascii="Times New Roman" w:eastAsia="Calibri" w:hAnsi="Times New Roman" w:cs="Courier New"/>
          <w:sz w:val="28"/>
          <w:szCs w:val="28"/>
          <w:lang w:eastAsia="ru-RU"/>
        </w:rPr>
        <w:t xml:space="preserve"> рублей) и заключен переходящий на 2014 год контракт на реконструкцию системы водоотведения центральной части города Петропавловск-Камчатский. </w:t>
      </w:r>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В рамках решения задач по созданию благоприятной среды проживания в течение 2013 года регулярно</w:t>
      </w:r>
      <w:r w:rsidRPr="00EC20F8">
        <w:rPr>
          <w:rFonts w:ascii="Times New Roman" w:eastAsia="Courier New" w:hAnsi="Times New Roman" w:cs="Times New Roman"/>
          <w:b/>
          <w:sz w:val="28"/>
          <w:szCs w:val="28"/>
          <w:lang w:eastAsia="ru-RU"/>
        </w:rPr>
        <w:t xml:space="preserve"> </w:t>
      </w:r>
      <w:r w:rsidRPr="00EC20F8">
        <w:rPr>
          <w:rFonts w:ascii="Times New Roman" w:eastAsia="Courier New" w:hAnsi="Times New Roman" w:cs="Times New Roman"/>
          <w:sz w:val="28"/>
          <w:szCs w:val="28"/>
          <w:lang w:eastAsia="ru-RU"/>
        </w:rPr>
        <w:t xml:space="preserve">осуществлялась очистка от мусора территории мест отдыха горожан: оз. Овальное, оз. Безымянное, оз. </w:t>
      </w:r>
      <w:proofErr w:type="spellStart"/>
      <w:r w:rsidRPr="00EC20F8">
        <w:rPr>
          <w:rFonts w:ascii="Times New Roman" w:eastAsia="Courier New" w:hAnsi="Times New Roman" w:cs="Times New Roman"/>
          <w:sz w:val="28"/>
          <w:szCs w:val="28"/>
          <w:lang w:eastAsia="ru-RU"/>
        </w:rPr>
        <w:t>Халактырское</w:t>
      </w:r>
      <w:proofErr w:type="spellEnd"/>
      <w:r w:rsidRPr="00EC20F8">
        <w:rPr>
          <w:rFonts w:ascii="Times New Roman" w:eastAsia="Courier New" w:hAnsi="Times New Roman" w:cs="Times New Roman"/>
          <w:sz w:val="28"/>
          <w:szCs w:val="28"/>
          <w:lang w:eastAsia="ru-RU"/>
        </w:rPr>
        <w:t>, сопка Мишенная и других участков, расположенных на территории городских лесов. Произведены проектные работы по устройству: сквера по ул. Горького; территории вокруг памятника В.И. Ленину (район СРВ); парка на сопке Никольская; благоустройство сквера у ДК КГТУ.</w:t>
      </w:r>
    </w:p>
    <w:p w:rsidR="00660F7A" w:rsidRPr="00EC20F8" w:rsidRDefault="00660F7A" w:rsidP="00660F7A">
      <w:pPr>
        <w:widowControl w:val="0"/>
        <w:spacing w:line="240" w:lineRule="auto"/>
        <w:ind w:firstLine="708"/>
        <w:jc w:val="both"/>
        <w:rPr>
          <w:rFonts w:ascii="Times New Roman" w:eastAsia="Courier New" w:hAnsi="Times New Roman" w:cs="Courier New"/>
          <w:sz w:val="28"/>
          <w:szCs w:val="28"/>
          <w:lang w:eastAsia="ru-RU"/>
        </w:rPr>
      </w:pPr>
      <w:proofErr w:type="gramStart"/>
      <w:r w:rsidRPr="00EC20F8">
        <w:rPr>
          <w:rFonts w:ascii="Times New Roman" w:eastAsia="Courier New" w:hAnsi="Times New Roman" w:cs="Times New Roman"/>
          <w:sz w:val="28"/>
          <w:szCs w:val="28"/>
          <w:lang w:eastAsia="ru-RU"/>
        </w:rPr>
        <w:t>В целях решения экологических проблем, в рамках долгосрочной муниципальной целевой программы «Отходы на 2010-2014годы», л</w:t>
      </w:r>
      <w:r w:rsidRPr="00EC20F8">
        <w:rPr>
          <w:rFonts w:ascii="Times New Roman" w:eastAsia="Courier New" w:hAnsi="Times New Roman" w:cs="Courier New"/>
          <w:sz w:val="28"/>
          <w:szCs w:val="28"/>
          <w:lang w:eastAsia="ru-RU"/>
        </w:rPr>
        <w:t>иквидировано 46,3 тысяч куб. метров несанкционированных свалок, утилизировано 261,5 тонн автомобильных покрышек, 17,76 тыс. ртутьсодержащих ламп, отловлено и утилизировано 3 870 бездомных животных.</w:t>
      </w:r>
      <w:proofErr w:type="gramEnd"/>
      <w:r w:rsidRPr="00EC20F8">
        <w:rPr>
          <w:rFonts w:ascii="Times New Roman" w:eastAsia="Courier New" w:hAnsi="Times New Roman" w:cs="Courier New"/>
          <w:sz w:val="28"/>
          <w:szCs w:val="28"/>
          <w:lang w:eastAsia="ru-RU"/>
        </w:rPr>
        <w:t xml:space="preserve"> </w:t>
      </w:r>
      <w:proofErr w:type="gramStart"/>
      <w:r w:rsidRPr="00EC20F8">
        <w:rPr>
          <w:rFonts w:ascii="Times New Roman" w:eastAsia="Courier New" w:hAnsi="Times New Roman" w:cs="Times New Roman"/>
          <w:sz w:val="28"/>
          <w:szCs w:val="28"/>
          <w:lang w:eastAsia="ru-RU"/>
        </w:rPr>
        <w:t>В ходе решения задачи по формированию системы контроля и мониторинга за состоянием окружающей среды на территории городского округа, проведено 4 экологических акций с привлечением 482 участников.</w:t>
      </w:r>
      <w:proofErr w:type="gramEnd"/>
      <w:r w:rsidRPr="00EC20F8">
        <w:rPr>
          <w:rFonts w:ascii="Times New Roman" w:eastAsia="Courier New" w:hAnsi="Times New Roman" w:cs="Times New Roman"/>
          <w:sz w:val="28"/>
          <w:szCs w:val="28"/>
          <w:lang w:eastAsia="ru-RU"/>
        </w:rPr>
        <w:t xml:space="preserve"> На выполнение программных мероприятий расходовано </w:t>
      </w:r>
      <w:r w:rsidRPr="00EC20F8">
        <w:rPr>
          <w:rFonts w:ascii="Times New Roman" w:eastAsia="Courier New" w:hAnsi="Times New Roman" w:cs="Courier New"/>
          <w:sz w:val="28"/>
          <w:szCs w:val="28"/>
          <w:lang w:eastAsia="ru-RU"/>
        </w:rPr>
        <w:t xml:space="preserve">27,65 </w:t>
      </w:r>
      <w:proofErr w:type="spellStart"/>
      <w:proofErr w:type="gramStart"/>
      <w:r w:rsidRPr="00EC20F8">
        <w:rPr>
          <w:rFonts w:ascii="Times New Roman" w:eastAsia="Courier New" w:hAnsi="Times New Roman" w:cs="Courier New"/>
          <w:sz w:val="28"/>
          <w:szCs w:val="28"/>
          <w:lang w:eastAsia="ru-RU"/>
        </w:rPr>
        <w:t>млн</w:t>
      </w:r>
      <w:proofErr w:type="spellEnd"/>
      <w:proofErr w:type="gramEnd"/>
      <w:r w:rsidRPr="00EC20F8">
        <w:rPr>
          <w:rFonts w:ascii="Times New Roman" w:eastAsia="Courier New" w:hAnsi="Times New Roman" w:cs="Courier New"/>
          <w:sz w:val="28"/>
          <w:szCs w:val="28"/>
          <w:lang w:eastAsia="ru-RU"/>
        </w:rPr>
        <w:t xml:space="preserve"> рублей.</w:t>
      </w:r>
    </w:p>
    <w:p w:rsidR="00660F7A" w:rsidRPr="00EC20F8" w:rsidRDefault="00660F7A" w:rsidP="00660F7A">
      <w:pPr>
        <w:widowControl w:val="0"/>
        <w:spacing w:line="240" w:lineRule="auto"/>
        <w:ind w:firstLine="708"/>
        <w:jc w:val="both"/>
        <w:rPr>
          <w:rFonts w:ascii="Courier New" w:eastAsia="Courier New" w:hAnsi="Courier New" w:cs="Courier New"/>
          <w:sz w:val="28"/>
          <w:szCs w:val="28"/>
          <w:lang w:eastAsia="ru-RU"/>
        </w:rPr>
      </w:pPr>
      <w:proofErr w:type="gramStart"/>
      <w:r w:rsidRPr="00EC20F8">
        <w:rPr>
          <w:rFonts w:ascii="Times New Roman" w:eastAsia="Courier New" w:hAnsi="Times New Roman" w:cs="Courier New"/>
          <w:b/>
          <w:i/>
          <w:sz w:val="28"/>
          <w:szCs w:val="28"/>
          <w:lang w:eastAsia="ru-RU"/>
        </w:rPr>
        <w:t>В прогнозном периоде</w:t>
      </w:r>
      <w:r w:rsidRPr="00EC20F8">
        <w:rPr>
          <w:rFonts w:ascii="Times New Roman" w:eastAsia="Courier New" w:hAnsi="Times New Roman" w:cs="Times New Roman"/>
          <w:sz w:val="28"/>
          <w:szCs w:val="28"/>
          <w:lang w:eastAsia="ru-RU"/>
        </w:rPr>
        <w:t xml:space="preserve"> особое внимание будет уделено осуществлению мероприятий по </w:t>
      </w:r>
      <w:r w:rsidRPr="00EC20F8">
        <w:rPr>
          <w:rFonts w:ascii="Times New Roman" w:eastAsia="Courier New" w:hAnsi="Times New Roman" w:cs="Courier New"/>
          <w:sz w:val="28"/>
          <w:szCs w:val="28"/>
          <w:lang w:eastAsia="ru-RU"/>
        </w:rPr>
        <w:t>организации системы обезвреживания, переработки  и утилизации бытовых, промышленных и  биологических  отходов (опасных отходов) на территории городского округа</w:t>
      </w:r>
      <w:r w:rsidRPr="00EC20F8">
        <w:rPr>
          <w:rFonts w:ascii="Times New Roman" w:eastAsia="Courier New" w:hAnsi="Times New Roman" w:cs="Times New Roman"/>
          <w:sz w:val="28"/>
          <w:szCs w:val="28"/>
          <w:lang w:eastAsia="ru-RU"/>
        </w:rPr>
        <w:t>,  организации благоустройства и озеленения территории городского округа, охране, защите городских лесов и водоемов, развитию экологического образования и просвещения, повышению уровня экологической культуры населения.</w:t>
      </w:r>
      <w:r w:rsidRPr="00EC20F8">
        <w:rPr>
          <w:rFonts w:ascii="Courier New" w:eastAsia="Courier New" w:hAnsi="Courier New" w:cs="Courier New"/>
          <w:sz w:val="28"/>
          <w:szCs w:val="28"/>
          <w:lang w:eastAsia="ru-RU"/>
        </w:rPr>
        <w:t xml:space="preserve"> </w:t>
      </w:r>
      <w:proofErr w:type="gramEnd"/>
    </w:p>
    <w:p w:rsidR="00660F7A" w:rsidRPr="00EC20F8" w:rsidRDefault="00660F7A" w:rsidP="00660F7A">
      <w:pPr>
        <w:widowControl w:val="0"/>
        <w:autoSpaceDE w:val="0"/>
        <w:autoSpaceDN w:val="0"/>
        <w:adjustRightInd w:val="0"/>
        <w:spacing w:line="240" w:lineRule="auto"/>
        <w:ind w:firstLine="540"/>
        <w:jc w:val="both"/>
        <w:rPr>
          <w:rFonts w:ascii="Times New Roman" w:eastAsia="Courier New" w:hAnsi="Times New Roman" w:cs="Times New Roman"/>
          <w:i/>
          <w:sz w:val="24"/>
          <w:szCs w:val="24"/>
          <w:lang w:eastAsia="ru-RU"/>
        </w:rPr>
      </w:pPr>
      <w:proofErr w:type="gramStart"/>
      <w:r w:rsidRPr="00EC20F8">
        <w:rPr>
          <w:rFonts w:ascii="Times New Roman" w:eastAsia="Courier New" w:hAnsi="Times New Roman" w:cs="Times New Roman"/>
          <w:sz w:val="28"/>
          <w:szCs w:val="28"/>
          <w:lang w:eastAsia="ru-RU"/>
        </w:rPr>
        <w:t>Снижение объема сброса загрязненных сточных вод, поступающих без очистки в водные объекты от жилого сектора и объектов, осуществляющих деятельность на территории городского округа в 2015-2017 годах намечается в результате  проведения мероприятий по строительству и реконструкции канализационных очистных сооружений и сетей канализации, в том числе: реконструкции системы водоотведения Центральной части г. Петропавловска-Камчатского (этап 2), Северо-Восточной части г. Петропавловска-Камчатского (район «Моховая»), Восточной</w:t>
      </w:r>
      <w:proofErr w:type="gramEnd"/>
      <w:r w:rsidRPr="00EC20F8">
        <w:rPr>
          <w:rFonts w:ascii="Times New Roman" w:eastAsia="Courier New" w:hAnsi="Times New Roman" w:cs="Times New Roman"/>
          <w:sz w:val="28"/>
          <w:szCs w:val="28"/>
          <w:lang w:eastAsia="ru-RU"/>
        </w:rPr>
        <w:t xml:space="preserve"> </w:t>
      </w:r>
      <w:proofErr w:type="gramStart"/>
      <w:r w:rsidRPr="00EC20F8">
        <w:rPr>
          <w:rFonts w:ascii="Times New Roman" w:eastAsia="Courier New" w:hAnsi="Times New Roman" w:cs="Times New Roman"/>
          <w:sz w:val="28"/>
          <w:szCs w:val="28"/>
          <w:lang w:eastAsia="ru-RU"/>
        </w:rPr>
        <w:t xml:space="preserve">и Южной части г. Петропавловск-Камчатский, а так же  строительство канализационных коллекторов, канализационных насосных станций и реконструкции канализационных очистных сооружений (КОС «Чавыча») в рамках муниципальной программы «Энергоэффективность развитие энергетики и коммунального хозяйства, обеспечение жителей Петропавловск-Камчатского городского округа коммунальными услугами, услугами по благоустройству территории и охрана окружающей среды» (подпрограмма 2 «Модернизация жилищно-коммунального хозяйства»). </w:t>
      </w:r>
      <w:proofErr w:type="gramEnd"/>
    </w:p>
    <w:p w:rsidR="00660F7A" w:rsidRPr="00EC20F8" w:rsidRDefault="00660F7A" w:rsidP="00660F7A">
      <w:pPr>
        <w:widowControl w:val="0"/>
        <w:spacing w:line="240" w:lineRule="auto"/>
        <w:ind w:firstLine="709"/>
        <w:jc w:val="both"/>
        <w:rPr>
          <w:rFonts w:ascii="Courier New" w:eastAsia="Courier New" w:hAnsi="Courier New" w:cs="Courier New"/>
          <w:sz w:val="28"/>
          <w:szCs w:val="28"/>
          <w:lang w:eastAsia="ru-RU"/>
        </w:rPr>
      </w:pPr>
      <w:r w:rsidRPr="00EC20F8">
        <w:rPr>
          <w:rFonts w:ascii="Times New Roman" w:eastAsia="Courier New" w:hAnsi="Times New Roman" w:cs="Times New Roman"/>
          <w:sz w:val="28"/>
          <w:szCs w:val="28"/>
          <w:lang w:eastAsia="ru-RU"/>
        </w:rPr>
        <w:t>Актуальной для городского округа является проблема образования стихийных свалок. Ежегодно из бюджета городского округа выделяются средства на уборку несанкционированных свалок, санитарную очистку территории городского округа. В тоже время существующая в настоящий момент система работы с отходами способна поддерживать санитарную очистку городского округа от ТБО, но отсутствие полномочий по осуществлению муниципального экологического контроля значительно снижает ее эффективность и приводит к образованию стихийных несанкционированных свалок.</w:t>
      </w:r>
      <w:r w:rsidRPr="00EC20F8">
        <w:rPr>
          <w:rFonts w:ascii="Courier New" w:eastAsia="Courier New" w:hAnsi="Courier New" w:cs="Courier New"/>
          <w:sz w:val="28"/>
          <w:szCs w:val="28"/>
          <w:lang w:eastAsia="ru-RU"/>
        </w:rPr>
        <w:t xml:space="preserve"> </w:t>
      </w:r>
    </w:p>
    <w:p w:rsidR="00660F7A" w:rsidRPr="00EC20F8" w:rsidRDefault="00660F7A" w:rsidP="00660F7A">
      <w:pPr>
        <w:widowControl w:val="0"/>
        <w:spacing w:line="240" w:lineRule="auto"/>
        <w:ind w:firstLine="709"/>
        <w:jc w:val="both"/>
        <w:rPr>
          <w:rFonts w:ascii="Times New Roman" w:eastAsia="Courier New" w:hAnsi="Times New Roman" w:cs="Courier New"/>
          <w:sz w:val="28"/>
          <w:szCs w:val="28"/>
          <w:lang w:eastAsia="ru-RU"/>
        </w:rPr>
      </w:pPr>
      <w:r w:rsidRPr="00EC20F8">
        <w:rPr>
          <w:rFonts w:ascii="Times New Roman" w:eastAsia="Courier New" w:hAnsi="Times New Roman" w:cs="Times New Roman"/>
          <w:b/>
          <w:i/>
          <w:sz w:val="28"/>
          <w:szCs w:val="28"/>
          <w:lang w:eastAsia="ru-RU"/>
        </w:rPr>
        <w:t>В 2015-2017</w:t>
      </w:r>
      <w:r w:rsidRPr="00EC20F8">
        <w:rPr>
          <w:rFonts w:ascii="Times New Roman" w:eastAsia="Courier New" w:hAnsi="Times New Roman" w:cs="Times New Roman"/>
          <w:sz w:val="28"/>
          <w:szCs w:val="28"/>
          <w:lang w:eastAsia="ru-RU"/>
        </w:rPr>
        <w:t xml:space="preserve"> годах экологические проблемы городского округа планируется </w:t>
      </w:r>
      <w:proofErr w:type="gramStart"/>
      <w:r w:rsidRPr="00EC20F8">
        <w:rPr>
          <w:rFonts w:ascii="Times New Roman" w:eastAsia="Courier New" w:hAnsi="Times New Roman" w:cs="Times New Roman"/>
          <w:sz w:val="28"/>
          <w:szCs w:val="28"/>
          <w:lang w:eastAsia="ru-RU"/>
        </w:rPr>
        <w:t>решатся</w:t>
      </w:r>
      <w:proofErr w:type="gramEnd"/>
      <w:r w:rsidRPr="00EC20F8">
        <w:rPr>
          <w:rFonts w:ascii="Times New Roman" w:eastAsia="Courier New" w:hAnsi="Times New Roman" w:cs="Times New Roman"/>
          <w:sz w:val="28"/>
          <w:szCs w:val="28"/>
          <w:lang w:eastAsia="ru-RU"/>
        </w:rPr>
        <w:t xml:space="preserve"> в рамках подпрограммы «Ликвидация экологического ущерба от накопленного объема бытовых и промышленных отходов» муниципальной программы «Энергоэффективность развитие энергетики и коммунального хозяйства, обеспечение жителей Петропавловск-Камчатского городского округа коммунальными услугами, услугами по благоустройству территории и охрана окружающей среды», мероприятия которой в первую очередь направлены на</w:t>
      </w:r>
      <w:r w:rsidRPr="00EC20F8">
        <w:rPr>
          <w:rFonts w:ascii="Times New Roman" w:eastAsia="Courier New" w:hAnsi="Times New Roman" w:cs="Courier New"/>
          <w:sz w:val="28"/>
          <w:szCs w:val="28"/>
          <w:lang w:eastAsia="ru-RU"/>
        </w:rPr>
        <w:t xml:space="preserve"> организацию системы обезвреживания, переработки  и утил</w:t>
      </w:r>
      <w:r w:rsidR="00275612" w:rsidRPr="00EC20F8">
        <w:rPr>
          <w:rFonts w:ascii="Times New Roman" w:eastAsia="Courier New" w:hAnsi="Times New Roman" w:cs="Courier New"/>
          <w:sz w:val="28"/>
          <w:szCs w:val="28"/>
          <w:lang w:eastAsia="ru-RU"/>
        </w:rPr>
        <w:t xml:space="preserve">изации бытовых, промышленных и </w:t>
      </w:r>
      <w:r w:rsidRPr="00EC20F8">
        <w:rPr>
          <w:rFonts w:ascii="Times New Roman" w:eastAsia="Courier New" w:hAnsi="Times New Roman" w:cs="Courier New"/>
          <w:sz w:val="28"/>
          <w:szCs w:val="28"/>
          <w:lang w:eastAsia="ru-RU"/>
        </w:rPr>
        <w:t>биологических  отходов (опасных отходов) на территории городского округа.</w:t>
      </w:r>
    </w:p>
    <w:p w:rsidR="00660F7A" w:rsidRPr="00EC20F8" w:rsidRDefault="00660F7A" w:rsidP="00660F7A">
      <w:pPr>
        <w:widowControl w:val="0"/>
        <w:autoSpaceDE w:val="0"/>
        <w:autoSpaceDN w:val="0"/>
        <w:adjustRightInd w:val="0"/>
        <w:spacing w:line="240" w:lineRule="auto"/>
        <w:ind w:firstLine="709"/>
        <w:jc w:val="both"/>
        <w:rPr>
          <w:rFonts w:ascii="Times New Roman" w:eastAsia="Courier New" w:hAnsi="Times New Roman" w:cs="Times New Roman"/>
          <w:sz w:val="28"/>
          <w:szCs w:val="28"/>
          <w:lang w:eastAsia="ru-RU"/>
        </w:rPr>
      </w:pPr>
      <w:proofErr w:type="gramStart"/>
      <w:r w:rsidRPr="00EC20F8">
        <w:rPr>
          <w:rFonts w:ascii="Times New Roman" w:eastAsia="Courier New" w:hAnsi="Times New Roman" w:cs="Times New Roman"/>
          <w:sz w:val="28"/>
          <w:szCs w:val="28"/>
          <w:lang w:eastAsia="ru-RU"/>
        </w:rPr>
        <w:t>Прогнозируется реализация мероприятий по ликвидаци</w:t>
      </w:r>
      <w:r w:rsidR="00623E51" w:rsidRPr="00EC20F8">
        <w:rPr>
          <w:rFonts w:ascii="Times New Roman" w:eastAsia="Courier New" w:hAnsi="Times New Roman" w:cs="Times New Roman"/>
          <w:sz w:val="28"/>
          <w:szCs w:val="28"/>
          <w:lang w:eastAsia="ru-RU"/>
        </w:rPr>
        <w:t>и</w:t>
      </w:r>
      <w:r w:rsidRPr="00EC20F8">
        <w:rPr>
          <w:rFonts w:ascii="Times New Roman" w:eastAsia="Courier New" w:hAnsi="Times New Roman" w:cs="Times New Roman"/>
          <w:sz w:val="28"/>
          <w:szCs w:val="28"/>
          <w:lang w:eastAsia="ru-RU"/>
        </w:rPr>
        <w:t xml:space="preserve"> несанкционированных свалок, по очистке муниципальных водных объектов  и зеленых зон на территории городского округа, утилизации </w:t>
      </w:r>
      <w:r w:rsidRPr="00EC20F8">
        <w:rPr>
          <w:rFonts w:ascii="Times New Roman" w:eastAsia="Courier New" w:hAnsi="Times New Roman" w:cs="Times New Roman"/>
          <w:snapToGrid w:val="0"/>
          <w:sz w:val="28"/>
          <w:szCs w:val="28"/>
          <w:lang w:eastAsia="ru-RU"/>
        </w:rPr>
        <w:t xml:space="preserve">опасных отходов </w:t>
      </w:r>
      <w:r w:rsidRPr="00EC20F8">
        <w:rPr>
          <w:rFonts w:ascii="Times New Roman" w:eastAsia="Courier New" w:hAnsi="Times New Roman" w:cs="Times New Roman"/>
          <w:snapToGrid w:val="0"/>
          <w:sz w:val="28"/>
          <w:szCs w:val="28"/>
          <w:lang w:val="en-US" w:eastAsia="ru-RU"/>
        </w:rPr>
        <w:t>I</w:t>
      </w:r>
      <w:r w:rsidRPr="00EC20F8">
        <w:rPr>
          <w:rFonts w:ascii="Times New Roman" w:eastAsia="Courier New" w:hAnsi="Times New Roman" w:cs="Times New Roman"/>
          <w:snapToGrid w:val="0"/>
          <w:sz w:val="28"/>
          <w:szCs w:val="28"/>
          <w:lang w:eastAsia="ru-RU"/>
        </w:rPr>
        <w:t xml:space="preserve"> и </w:t>
      </w:r>
      <w:r w:rsidRPr="00EC20F8">
        <w:rPr>
          <w:rFonts w:ascii="Times New Roman" w:eastAsia="Courier New" w:hAnsi="Times New Roman" w:cs="Times New Roman"/>
          <w:snapToGrid w:val="0"/>
          <w:sz w:val="28"/>
          <w:szCs w:val="28"/>
          <w:lang w:val="en-US" w:eastAsia="ru-RU"/>
        </w:rPr>
        <w:t>II</w:t>
      </w:r>
      <w:r w:rsidRPr="00EC20F8">
        <w:rPr>
          <w:rFonts w:ascii="Times New Roman" w:eastAsia="Courier New" w:hAnsi="Times New Roman" w:cs="Times New Roman"/>
          <w:snapToGrid w:val="0"/>
          <w:sz w:val="28"/>
          <w:szCs w:val="28"/>
          <w:lang w:eastAsia="ru-RU"/>
        </w:rPr>
        <w:t xml:space="preserve"> классов</w:t>
      </w:r>
      <w:r w:rsidRPr="00EC20F8">
        <w:rPr>
          <w:rFonts w:ascii="Times New Roman" w:eastAsia="Courier New" w:hAnsi="Times New Roman" w:cs="Times New Roman"/>
          <w:sz w:val="28"/>
          <w:szCs w:val="28"/>
          <w:lang w:eastAsia="ru-RU"/>
        </w:rPr>
        <w:t xml:space="preserve"> (отработанных автомобильных покрышек и ртутьсодержащих отходов), отлову безнадзорных животных и утилизации трупов животных, мероприятия по развитию экологического образования и просвещения, повышению уровня экологической культуры населения городского округ.</w:t>
      </w:r>
      <w:proofErr w:type="gramEnd"/>
    </w:p>
    <w:p w:rsidR="00660F7A" w:rsidRPr="00EC20F8" w:rsidRDefault="00660F7A" w:rsidP="00660F7A">
      <w:pPr>
        <w:widowControl w:val="0"/>
        <w:autoSpaceDE w:val="0"/>
        <w:autoSpaceDN w:val="0"/>
        <w:adjustRightInd w:val="0"/>
        <w:spacing w:line="240" w:lineRule="auto"/>
        <w:ind w:firstLine="540"/>
        <w:jc w:val="both"/>
        <w:rPr>
          <w:rFonts w:ascii="Times New Roman" w:eastAsia="Courier New" w:hAnsi="Times New Roman" w:cs="Times New Roman"/>
          <w:sz w:val="28"/>
          <w:szCs w:val="28"/>
          <w:lang w:eastAsia="ru-RU"/>
        </w:rPr>
      </w:pPr>
      <w:proofErr w:type="gramStart"/>
      <w:r w:rsidRPr="00EC20F8">
        <w:rPr>
          <w:rFonts w:ascii="Times New Roman" w:eastAsia="Courier New" w:hAnsi="Times New Roman" w:cs="Times New Roman"/>
          <w:sz w:val="28"/>
          <w:szCs w:val="28"/>
          <w:lang w:eastAsia="ru-RU"/>
        </w:rPr>
        <w:t xml:space="preserve">В целях решения задачи по формированию системы контроля и мониторинга за состоянием окружающей среды на территории городского округа планируется проведение оповещения населения через средства массовой информации, проведение экологических акций и субботников на территории городского округа. </w:t>
      </w:r>
      <w:proofErr w:type="gramEnd"/>
    </w:p>
    <w:p w:rsidR="00660F7A" w:rsidRPr="00EC20F8" w:rsidRDefault="00660F7A" w:rsidP="00660F7A">
      <w:pPr>
        <w:widowControl w:val="0"/>
        <w:spacing w:line="240" w:lineRule="auto"/>
        <w:ind w:firstLine="708"/>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 xml:space="preserve">Состояние атмосферы воздуха городского округа характеризуется достаточно высоким уровнем загрязнения. </w:t>
      </w:r>
      <w:r w:rsidR="00CF7F3D" w:rsidRPr="00EC20F8">
        <w:rPr>
          <w:rFonts w:ascii="Times New Roman" w:eastAsia="Courier New" w:hAnsi="Times New Roman" w:cs="Times New Roman"/>
          <w:sz w:val="28"/>
          <w:szCs w:val="28"/>
          <w:lang w:eastAsia="ru-RU"/>
        </w:rPr>
        <w:t xml:space="preserve">Основная доля загрязняющих веществ (76 %), поступающих в атмосферу, приходится на выхлопы автомобильного транспорта. </w:t>
      </w:r>
      <w:r w:rsidRPr="00EC20F8">
        <w:rPr>
          <w:rFonts w:ascii="Times New Roman" w:eastAsia="Courier New" w:hAnsi="Times New Roman" w:cs="Times New Roman"/>
          <w:sz w:val="28"/>
          <w:szCs w:val="28"/>
          <w:lang w:eastAsia="ru-RU"/>
        </w:rPr>
        <w:t>Продолжающаяся автомобилизация городского округа будет усугублять эту проблему.</w:t>
      </w:r>
    </w:p>
    <w:p w:rsidR="00660F7A" w:rsidRPr="00EC20F8" w:rsidRDefault="00660F7A" w:rsidP="00660F7A">
      <w:pPr>
        <w:widowControl w:val="0"/>
        <w:spacing w:line="240" w:lineRule="auto"/>
        <w:ind w:firstLine="708"/>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 xml:space="preserve">Фактический объем выбросов загрязняющих веществ в атмосферу от стационарных источников в 2013 году сократился до 8,648 тонн против                     10 528 тонн в 2012 году. В первую очередь это обусловлено переходом на использование в качестве топлива более </w:t>
      </w:r>
      <w:proofErr w:type="spellStart"/>
      <w:r w:rsidRPr="00EC20F8">
        <w:rPr>
          <w:rFonts w:ascii="Times New Roman" w:eastAsia="Courier New" w:hAnsi="Times New Roman" w:cs="Times New Roman"/>
          <w:sz w:val="28"/>
          <w:szCs w:val="28"/>
          <w:lang w:eastAsia="ru-RU"/>
        </w:rPr>
        <w:t>экологичного</w:t>
      </w:r>
      <w:proofErr w:type="spellEnd"/>
      <w:r w:rsidRPr="00EC20F8">
        <w:rPr>
          <w:rFonts w:ascii="Times New Roman" w:eastAsia="Courier New" w:hAnsi="Times New Roman" w:cs="Times New Roman"/>
          <w:sz w:val="28"/>
          <w:szCs w:val="28"/>
          <w:lang w:eastAsia="ru-RU"/>
        </w:rPr>
        <w:t xml:space="preserve"> природного газа взамен мазута. В перспективе объемы загрязняющих выбросов будут сокращаться за счет дальнейшего расширения применения природного газа. </w:t>
      </w:r>
    </w:p>
    <w:p w:rsidR="00660F7A" w:rsidRPr="00EC20F8" w:rsidRDefault="00660F7A" w:rsidP="00660F7A">
      <w:pPr>
        <w:autoSpaceDE w:val="0"/>
        <w:autoSpaceDN w:val="0"/>
        <w:adjustRightInd w:val="0"/>
        <w:spacing w:line="240" w:lineRule="auto"/>
        <w:jc w:val="center"/>
        <w:outlineLvl w:val="0"/>
        <w:rPr>
          <w:rFonts w:ascii="Times New Roman" w:hAnsi="Times New Roman" w:cs="Times New Roman"/>
          <w:b/>
          <w:sz w:val="24"/>
          <w:szCs w:val="24"/>
        </w:rPr>
      </w:pPr>
    </w:p>
    <w:p w:rsidR="00946A83" w:rsidRPr="00EC20F8" w:rsidRDefault="00946A83" w:rsidP="00946A83">
      <w:pPr>
        <w:autoSpaceDE w:val="0"/>
        <w:autoSpaceDN w:val="0"/>
        <w:adjustRightInd w:val="0"/>
        <w:spacing w:line="240" w:lineRule="auto"/>
        <w:jc w:val="center"/>
        <w:outlineLvl w:val="0"/>
        <w:rPr>
          <w:rFonts w:ascii="Times New Roman" w:eastAsia="Calibri" w:hAnsi="Times New Roman" w:cs="Times New Roman"/>
          <w:b/>
          <w:sz w:val="28"/>
          <w:szCs w:val="28"/>
        </w:rPr>
      </w:pPr>
      <w:bookmarkStart w:id="147" w:name="_Toc368930241"/>
      <w:bookmarkStart w:id="148" w:name="_Toc368930865"/>
      <w:bookmarkStart w:id="149" w:name="_Toc368988923"/>
      <w:bookmarkStart w:id="150" w:name="_Toc400529690"/>
      <w:r w:rsidRPr="00EC20F8">
        <w:rPr>
          <w:rFonts w:ascii="Times New Roman" w:eastAsia="Calibri" w:hAnsi="Times New Roman" w:cs="Times New Roman"/>
          <w:b/>
          <w:sz w:val="28"/>
          <w:szCs w:val="28"/>
        </w:rPr>
        <w:t>21. Сельское хозяйство</w:t>
      </w:r>
      <w:bookmarkEnd w:id="147"/>
      <w:bookmarkEnd w:id="148"/>
      <w:bookmarkEnd w:id="149"/>
      <w:bookmarkEnd w:id="150"/>
    </w:p>
    <w:p w:rsidR="00946A83" w:rsidRPr="00EC20F8" w:rsidRDefault="00946A83" w:rsidP="00946A83">
      <w:pPr>
        <w:autoSpaceDE w:val="0"/>
        <w:autoSpaceDN w:val="0"/>
        <w:adjustRightInd w:val="0"/>
        <w:spacing w:line="240" w:lineRule="auto"/>
        <w:contextualSpacing/>
        <w:rPr>
          <w:rFonts w:ascii="Times New Roman" w:eastAsia="Calibri" w:hAnsi="Times New Roman" w:cs="Times New Roman"/>
          <w:b/>
          <w:bCs/>
          <w:sz w:val="24"/>
          <w:szCs w:val="24"/>
        </w:rPr>
      </w:pPr>
    </w:p>
    <w:p w:rsidR="00946A83" w:rsidRPr="00EC20F8" w:rsidRDefault="00946A83" w:rsidP="00946A83">
      <w:pPr>
        <w:spacing w:line="240" w:lineRule="auto"/>
        <w:ind w:firstLine="709"/>
        <w:jc w:val="both"/>
        <w:rPr>
          <w:rFonts w:ascii="Times New Roman" w:eastAsia="Calibri" w:hAnsi="Times New Roman" w:cs="Times New Roman"/>
          <w:spacing w:val="2"/>
          <w:sz w:val="28"/>
          <w:szCs w:val="28"/>
        </w:rPr>
      </w:pPr>
      <w:r w:rsidRPr="00EC20F8">
        <w:rPr>
          <w:rFonts w:ascii="Times New Roman" w:eastAsia="Calibri" w:hAnsi="Times New Roman" w:cs="Times New Roman"/>
          <w:spacing w:val="2"/>
          <w:sz w:val="28"/>
          <w:szCs w:val="28"/>
        </w:rPr>
        <w:t>Доля городского округа в общем объеме сельскохозяйственного производства Камчатского края составляет 2,6 %. На территории городского округа зарегистрирована одна сельскохозяйственная организация и два фермерских хозяйства. Объем произведенной сельскохозяйственной продукции в 2013 го</w:t>
      </w:r>
      <w:r w:rsidR="00275612" w:rsidRPr="00EC20F8">
        <w:rPr>
          <w:rFonts w:ascii="Times New Roman" w:eastAsia="Calibri" w:hAnsi="Times New Roman" w:cs="Times New Roman"/>
          <w:spacing w:val="2"/>
          <w:sz w:val="28"/>
          <w:szCs w:val="28"/>
        </w:rPr>
        <w:t xml:space="preserve">ду составил, по оценке, 158,65 </w:t>
      </w:r>
      <w:proofErr w:type="spellStart"/>
      <w:proofErr w:type="gramStart"/>
      <w:r w:rsidRPr="00EC20F8">
        <w:rPr>
          <w:rFonts w:ascii="Times New Roman" w:eastAsia="Calibri" w:hAnsi="Times New Roman" w:cs="Times New Roman"/>
          <w:spacing w:val="2"/>
          <w:sz w:val="28"/>
          <w:szCs w:val="28"/>
        </w:rPr>
        <w:t>млн</w:t>
      </w:r>
      <w:proofErr w:type="spellEnd"/>
      <w:proofErr w:type="gramEnd"/>
      <w:r w:rsidRPr="00EC20F8">
        <w:rPr>
          <w:rFonts w:ascii="Times New Roman" w:eastAsia="Calibri" w:hAnsi="Times New Roman" w:cs="Times New Roman"/>
          <w:spacing w:val="2"/>
          <w:sz w:val="28"/>
          <w:szCs w:val="28"/>
        </w:rPr>
        <w:t xml:space="preserve"> рублей или 91,5 % к уровню 2012 года.</w:t>
      </w:r>
    </w:p>
    <w:p w:rsidR="00946A83" w:rsidRPr="00EC20F8" w:rsidRDefault="00946A83" w:rsidP="00946A83">
      <w:pPr>
        <w:spacing w:line="240" w:lineRule="auto"/>
        <w:ind w:firstLine="709"/>
        <w:jc w:val="both"/>
        <w:rPr>
          <w:rFonts w:ascii="Times New Roman" w:eastAsia="Calibri" w:hAnsi="Times New Roman" w:cs="Times New Roman"/>
          <w:spacing w:val="2"/>
          <w:sz w:val="28"/>
          <w:szCs w:val="28"/>
        </w:rPr>
      </w:pPr>
      <w:r w:rsidRPr="00EC20F8">
        <w:rPr>
          <w:rFonts w:ascii="Times New Roman" w:eastAsia="Calibri" w:hAnsi="Times New Roman" w:cs="Times New Roman"/>
          <w:spacing w:val="2"/>
          <w:sz w:val="28"/>
          <w:szCs w:val="28"/>
        </w:rPr>
        <w:t>Общая посевная площадь сельскохозяйственных культур в растениеводстве под урожай 2013 года в хозяйствах всех категорий городского округа составила 1</w:t>
      </w:r>
      <w:r w:rsidR="00275612" w:rsidRPr="00EC20F8">
        <w:rPr>
          <w:rFonts w:ascii="Times New Roman" w:eastAsia="Calibri" w:hAnsi="Times New Roman" w:cs="Times New Roman"/>
          <w:spacing w:val="2"/>
          <w:sz w:val="28"/>
          <w:szCs w:val="28"/>
        </w:rPr>
        <w:t xml:space="preserve"> </w:t>
      </w:r>
      <w:r w:rsidRPr="00EC20F8">
        <w:rPr>
          <w:rFonts w:ascii="Times New Roman" w:eastAsia="Calibri" w:hAnsi="Times New Roman" w:cs="Times New Roman"/>
          <w:spacing w:val="2"/>
          <w:sz w:val="28"/>
          <w:szCs w:val="28"/>
        </w:rPr>
        <w:t xml:space="preserve">792 га, что на 109,3 % больше посевной площади прошлого года. Посевные площади под овощи и картофель составили 66 га и 6 га соответственно. Площади посевов под картофель увеличились относительно уровня 2012 года на 1,5 %, под овощи </w:t>
      </w:r>
      <w:proofErr w:type="gramStart"/>
      <w:r w:rsidRPr="00EC20F8">
        <w:rPr>
          <w:rFonts w:ascii="Times New Roman" w:eastAsia="Calibri" w:hAnsi="Times New Roman" w:cs="Times New Roman"/>
          <w:spacing w:val="2"/>
          <w:sz w:val="28"/>
          <w:szCs w:val="28"/>
        </w:rPr>
        <w:t>-с</w:t>
      </w:r>
      <w:proofErr w:type="gramEnd"/>
      <w:r w:rsidRPr="00EC20F8">
        <w:rPr>
          <w:rFonts w:ascii="Times New Roman" w:eastAsia="Calibri" w:hAnsi="Times New Roman" w:cs="Times New Roman"/>
          <w:spacing w:val="2"/>
          <w:sz w:val="28"/>
          <w:szCs w:val="28"/>
        </w:rPr>
        <w:t>низились на 25,8 %, под кормовые культуры - увеличились по отношению к уровню предыдущего года на 109,8 %, составив 1 670 га.</w:t>
      </w:r>
    </w:p>
    <w:p w:rsidR="00946A83" w:rsidRPr="00EC20F8" w:rsidRDefault="00946A83" w:rsidP="00946A83">
      <w:pPr>
        <w:spacing w:line="240" w:lineRule="auto"/>
        <w:ind w:firstLine="709"/>
        <w:jc w:val="both"/>
        <w:rPr>
          <w:rFonts w:ascii="Times New Roman" w:eastAsia="Calibri" w:hAnsi="Times New Roman" w:cs="Times New Roman"/>
          <w:spacing w:val="2"/>
          <w:sz w:val="28"/>
          <w:szCs w:val="28"/>
        </w:rPr>
      </w:pPr>
      <w:r w:rsidRPr="00EC20F8">
        <w:rPr>
          <w:rFonts w:ascii="Times New Roman" w:eastAsia="Calibri" w:hAnsi="Times New Roman" w:cs="Times New Roman"/>
          <w:spacing w:val="2"/>
          <w:sz w:val="28"/>
          <w:szCs w:val="28"/>
        </w:rPr>
        <w:t>На долю хозяйств населения приходится 3,6 % посевных площадей или 64 га, в 2012 году – 4 % (рисунок 21.1).</w:t>
      </w:r>
    </w:p>
    <w:p w:rsidR="00946A83" w:rsidRPr="00EC20F8" w:rsidRDefault="00CC0C39" w:rsidP="00946A83">
      <w:pPr>
        <w:spacing w:line="240" w:lineRule="auto"/>
        <w:ind w:firstLine="709"/>
        <w:jc w:val="both"/>
        <w:rPr>
          <w:rFonts w:ascii="Times New Roman" w:eastAsia="Calibri" w:hAnsi="Times New Roman" w:cs="Times New Roman"/>
          <w:spacing w:val="2"/>
          <w:sz w:val="28"/>
          <w:szCs w:val="28"/>
        </w:rPr>
      </w:pPr>
      <w:r w:rsidRPr="00EC20F8">
        <w:rPr>
          <w:rFonts w:ascii="Times New Roman" w:eastAsia="Calibri" w:hAnsi="Times New Roman" w:cs="Times New Roman"/>
          <w:spacing w:val="2"/>
          <w:sz w:val="28"/>
          <w:szCs w:val="28"/>
        </w:rPr>
        <w:t xml:space="preserve">    </w:t>
      </w:r>
    </w:p>
    <w:p w:rsidR="00946A83" w:rsidRPr="00EC20F8" w:rsidRDefault="00946A83" w:rsidP="00946A83">
      <w:pPr>
        <w:spacing w:line="240" w:lineRule="auto"/>
        <w:rPr>
          <w:rFonts w:ascii="Times New Roman" w:eastAsia="Calibri" w:hAnsi="Times New Roman" w:cs="Times New Roman"/>
          <w:spacing w:val="2"/>
          <w:sz w:val="8"/>
          <w:szCs w:val="8"/>
        </w:rPr>
      </w:pPr>
    </w:p>
    <w:p w:rsidR="00946A83" w:rsidRPr="00EC20F8" w:rsidRDefault="00946A83" w:rsidP="00946A83">
      <w:pPr>
        <w:spacing w:line="240" w:lineRule="auto"/>
        <w:jc w:val="center"/>
        <w:rPr>
          <w:rFonts w:ascii="Times New Roman" w:eastAsia="Calibri" w:hAnsi="Times New Roman" w:cs="Times New Roman"/>
          <w:i/>
          <w:iCs/>
          <w:spacing w:val="2"/>
          <w:sz w:val="24"/>
          <w:szCs w:val="24"/>
        </w:rPr>
      </w:pPr>
      <w:r w:rsidRPr="00EC20F8">
        <w:rPr>
          <w:rFonts w:ascii="Calibri" w:eastAsia="Calibri" w:hAnsi="Calibri" w:cs="Times New Roman"/>
          <w:noProof/>
          <w:bdr w:val="single" w:sz="4" w:space="0" w:color="auto"/>
          <w:lang w:eastAsia="ru-RU"/>
        </w:rPr>
        <w:drawing>
          <wp:inline distT="0" distB="0" distL="0" distR="0">
            <wp:extent cx="2857500" cy="2257425"/>
            <wp:effectExtent l="0" t="0" r="0" b="0"/>
            <wp:docPr id="38" name="Диаграмма 3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r w:rsidRPr="00EC20F8">
        <w:rPr>
          <w:rFonts w:ascii="Calibri" w:eastAsia="Calibri" w:hAnsi="Calibri" w:cs="Times New Roman"/>
          <w:noProof/>
          <w:bdr w:val="single" w:sz="4" w:space="0" w:color="auto"/>
          <w:lang w:eastAsia="ru-RU"/>
        </w:rPr>
        <w:drawing>
          <wp:inline distT="0" distB="0" distL="0" distR="0">
            <wp:extent cx="2828925" cy="2257425"/>
            <wp:effectExtent l="0" t="0" r="0" b="0"/>
            <wp:docPr id="37" name="Диаграмма 3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CC0C39" w:rsidRPr="00EC20F8" w:rsidRDefault="00CC0C39" w:rsidP="00946A83">
      <w:pPr>
        <w:spacing w:line="240" w:lineRule="auto"/>
        <w:jc w:val="center"/>
        <w:rPr>
          <w:rFonts w:ascii="Times New Roman" w:eastAsia="Calibri" w:hAnsi="Times New Roman" w:cs="Times New Roman"/>
          <w:i/>
          <w:iCs/>
          <w:spacing w:val="2"/>
          <w:sz w:val="12"/>
          <w:szCs w:val="12"/>
        </w:rPr>
      </w:pPr>
    </w:p>
    <w:p w:rsidR="00CC0C39" w:rsidRPr="00EC20F8" w:rsidRDefault="00CC0C39" w:rsidP="00946A83">
      <w:pPr>
        <w:spacing w:line="240" w:lineRule="auto"/>
        <w:jc w:val="center"/>
        <w:rPr>
          <w:rFonts w:ascii="Times New Roman" w:eastAsia="Calibri" w:hAnsi="Times New Roman" w:cs="Times New Roman"/>
          <w:i/>
          <w:iCs/>
          <w:spacing w:val="2"/>
          <w:sz w:val="12"/>
          <w:szCs w:val="12"/>
        </w:rPr>
      </w:pPr>
    </w:p>
    <w:p w:rsidR="00946A83" w:rsidRPr="00EC20F8" w:rsidRDefault="00946A83" w:rsidP="00946A83">
      <w:pPr>
        <w:spacing w:line="240" w:lineRule="auto"/>
        <w:jc w:val="center"/>
        <w:rPr>
          <w:rFonts w:ascii="Times New Roman" w:eastAsia="Calibri" w:hAnsi="Times New Roman" w:cs="Times New Roman"/>
          <w:i/>
          <w:iCs/>
          <w:spacing w:val="2"/>
          <w:sz w:val="24"/>
          <w:szCs w:val="24"/>
        </w:rPr>
      </w:pPr>
      <w:r w:rsidRPr="00EC20F8">
        <w:rPr>
          <w:rFonts w:ascii="Times New Roman" w:eastAsia="Calibri" w:hAnsi="Times New Roman" w:cs="Times New Roman"/>
          <w:i/>
          <w:iCs/>
          <w:spacing w:val="2"/>
          <w:sz w:val="24"/>
          <w:szCs w:val="24"/>
        </w:rPr>
        <w:t xml:space="preserve">Рис.21.1. Распределение посевных площадей </w:t>
      </w:r>
    </w:p>
    <w:p w:rsidR="00946A83" w:rsidRPr="00EC20F8" w:rsidRDefault="00946A83" w:rsidP="00946A83">
      <w:pPr>
        <w:spacing w:line="240" w:lineRule="auto"/>
        <w:jc w:val="center"/>
        <w:rPr>
          <w:rFonts w:ascii="Times New Roman" w:eastAsia="Calibri" w:hAnsi="Times New Roman" w:cs="Times New Roman"/>
          <w:i/>
          <w:iCs/>
          <w:spacing w:val="2"/>
          <w:sz w:val="24"/>
          <w:szCs w:val="24"/>
        </w:rPr>
      </w:pPr>
      <w:r w:rsidRPr="00EC20F8">
        <w:rPr>
          <w:rFonts w:ascii="Times New Roman" w:eastAsia="Calibri" w:hAnsi="Times New Roman" w:cs="Times New Roman"/>
          <w:i/>
          <w:iCs/>
          <w:spacing w:val="2"/>
          <w:sz w:val="24"/>
          <w:szCs w:val="24"/>
        </w:rPr>
        <w:t xml:space="preserve">в </w:t>
      </w:r>
      <w:proofErr w:type="gramStart"/>
      <w:r w:rsidRPr="00EC20F8">
        <w:rPr>
          <w:rFonts w:ascii="Times New Roman" w:eastAsia="Calibri" w:hAnsi="Times New Roman" w:cs="Times New Roman"/>
          <w:i/>
          <w:iCs/>
          <w:spacing w:val="2"/>
          <w:sz w:val="24"/>
          <w:szCs w:val="24"/>
        </w:rPr>
        <w:t>Петропавловск-Камчатском</w:t>
      </w:r>
      <w:proofErr w:type="gramEnd"/>
      <w:r w:rsidRPr="00EC20F8">
        <w:rPr>
          <w:rFonts w:ascii="Times New Roman" w:eastAsia="Calibri" w:hAnsi="Times New Roman" w:cs="Times New Roman"/>
          <w:i/>
          <w:iCs/>
          <w:spacing w:val="2"/>
          <w:sz w:val="24"/>
          <w:szCs w:val="24"/>
        </w:rPr>
        <w:t xml:space="preserve"> городском округе за 2012,2013 годы </w:t>
      </w:r>
    </w:p>
    <w:p w:rsidR="00946A83" w:rsidRPr="00EC20F8" w:rsidRDefault="00946A83" w:rsidP="00946A83">
      <w:pPr>
        <w:spacing w:line="240" w:lineRule="auto"/>
        <w:ind w:firstLine="709"/>
        <w:jc w:val="center"/>
        <w:rPr>
          <w:rFonts w:ascii="Times New Roman" w:eastAsia="Calibri" w:hAnsi="Times New Roman" w:cs="Times New Roman"/>
          <w:i/>
          <w:iCs/>
          <w:spacing w:val="2"/>
          <w:sz w:val="24"/>
          <w:szCs w:val="24"/>
        </w:rPr>
      </w:pPr>
    </w:p>
    <w:p w:rsidR="00946A83" w:rsidRPr="00EC20F8" w:rsidRDefault="00946A83" w:rsidP="00946A83">
      <w:pPr>
        <w:spacing w:line="240" w:lineRule="auto"/>
        <w:ind w:firstLine="709"/>
        <w:jc w:val="both"/>
        <w:rPr>
          <w:rFonts w:ascii="Times New Roman" w:eastAsia="Calibri" w:hAnsi="Times New Roman" w:cs="Times New Roman"/>
          <w:spacing w:val="2"/>
          <w:sz w:val="28"/>
          <w:szCs w:val="28"/>
        </w:rPr>
      </w:pPr>
      <w:r w:rsidRPr="00EC20F8">
        <w:rPr>
          <w:rFonts w:ascii="Times New Roman" w:eastAsia="Calibri" w:hAnsi="Times New Roman" w:cs="Times New Roman"/>
          <w:spacing w:val="2"/>
          <w:sz w:val="28"/>
          <w:szCs w:val="28"/>
        </w:rPr>
        <w:t xml:space="preserve">Валовой сбор картофеля всеми категориями хозяйств в 2013 году составил 990 тонн (99,1 % к уровню 2012 года), или 151,7 центнер с 1 гектара (в 2012 году – 154,5 центнера с гектара). Валовой сбор овощей – 102 тонны (82,9 % к уровню прошлого года) или 178,7 центнера с гектара (в 2012 году – 145,1 центнера с гектара). </w:t>
      </w:r>
    </w:p>
    <w:p w:rsidR="00946A83" w:rsidRPr="00EC20F8" w:rsidRDefault="00946A83" w:rsidP="00946A83">
      <w:pPr>
        <w:spacing w:line="240" w:lineRule="auto"/>
        <w:ind w:firstLine="709"/>
        <w:jc w:val="both"/>
        <w:rPr>
          <w:rFonts w:ascii="Times New Roman" w:eastAsia="Calibri" w:hAnsi="Times New Roman" w:cs="Times New Roman"/>
          <w:spacing w:val="2"/>
          <w:sz w:val="28"/>
          <w:szCs w:val="28"/>
        </w:rPr>
      </w:pPr>
      <w:r w:rsidRPr="00EC20F8">
        <w:rPr>
          <w:rFonts w:ascii="Times New Roman" w:eastAsia="Calibri" w:hAnsi="Times New Roman" w:cs="Times New Roman"/>
          <w:spacing w:val="2"/>
          <w:sz w:val="28"/>
          <w:szCs w:val="28"/>
        </w:rPr>
        <w:t xml:space="preserve">Производство молока увеличилось и составило 1196 тонн (109,7 % к уровню прошлого года), в том числе хозяйствами населения – 353 тонны. Средний надой молока от одной коровы в сельскохозяйственных организациях составляет 3 802 кг (на 108,2 % выше уровня 2012 года). </w:t>
      </w:r>
    </w:p>
    <w:p w:rsidR="00946A83" w:rsidRPr="00EC20F8" w:rsidRDefault="00946A83" w:rsidP="00946A83">
      <w:pPr>
        <w:spacing w:line="240" w:lineRule="auto"/>
        <w:ind w:firstLine="709"/>
        <w:jc w:val="both"/>
        <w:rPr>
          <w:rFonts w:ascii="Times New Roman" w:eastAsia="Calibri" w:hAnsi="Times New Roman" w:cs="Times New Roman"/>
          <w:spacing w:val="2"/>
          <w:sz w:val="28"/>
          <w:szCs w:val="28"/>
        </w:rPr>
      </w:pPr>
      <w:r w:rsidRPr="00EC20F8">
        <w:rPr>
          <w:rFonts w:ascii="Times New Roman" w:eastAsia="Calibri" w:hAnsi="Times New Roman" w:cs="Times New Roman"/>
          <w:spacing w:val="2"/>
          <w:sz w:val="28"/>
          <w:szCs w:val="28"/>
        </w:rPr>
        <w:t xml:space="preserve">Производство яиц увеличилось на 1,6% – (124 тысяч штук). За 2013 год поголовье крупного рогатого скота в хозяйствах всех категорий упало и составило 685 голов (в 2012 году – 690 голов). Поголовье свиней увеличилось 42,8 %  и составило 863 голов. </w:t>
      </w:r>
    </w:p>
    <w:p w:rsidR="00946A83" w:rsidRPr="00EC20F8" w:rsidRDefault="00946A83" w:rsidP="00946A83">
      <w:pPr>
        <w:spacing w:line="240" w:lineRule="auto"/>
        <w:ind w:firstLine="709"/>
        <w:jc w:val="both"/>
        <w:rPr>
          <w:rFonts w:ascii="Times New Roman" w:eastAsia="Calibri" w:hAnsi="Times New Roman" w:cs="Times New Roman"/>
          <w:spacing w:val="2"/>
          <w:sz w:val="28"/>
          <w:szCs w:val="28"/>
        </w:rPr>
      </w:pPr>
      <w:r w:rsidRPr="00EC20F8">
        <w:rPr>
          <w:rFonts w:ascii="Times New Roman" w:eastAsia="Calibri" w:hAnsi="Times New Roman" w:cs="Times New Roman"/>
          <w:spacing w:val="2"/>
          <w:sz w:val="28"/>
          <w:szCs w:val="28"/>
        </w:rPr>
        <w:t>Производство продукции животноводства (скот и птица, молоко, яйца) на душу населения характеризуется незначительным увеличением.</w:t>
      </w:r>
    </w:p>
    <w:p w:rsidR="00946A83" w:rsidRPr="00EC20F8" w:rsidRDefault="00946A83" w:rsidP="00946A83">
      <w:pPr>
        <w:spacing w:line="240" w:lineRule="auto"/>
        <w:ind w:firstLine="709"/>
        <w:jc w:val="both"/>
        <w:rPr>
          <w:rFonts w:ascii="Times New Roman" w:eastAsia="Calibri" w:hAnsi="Times New Roman" w:cs="Times New Roman"/>
          <w:spacing w:val="2"/>
          <w:sz w:val="28"/>
          <w:szCs w:val="28"/>
        </w:rPr>
      </w:pPr>
      <w:r w:rsidRPr="00EC20F8">
        <w:rPr>
          <w:rFonts w:ascii="Times New Roman" w:eastAsia="Calibri" w:hAnsi="Times New Roman" w:cs="Times New Roman"/>
          <w:spacing w:val="2"/>
          <w:sz w:val="28"/>
          <w:szCs w:val="28"/>
        </w:rPr>
        <w:t xml:space="preserve">В 2013 году  индекс производства продукции сельского хозяйства снизится  в сравнении с предыдущим годом и составит 97,30 %, объем продукции в ценах соответствующих лет   составил 158,65 </w:t>
      </w:r>
      <w:proofErr w:type="spellStart"/>
      <w:proofErr w:type="gramStart"/>
      <w:r w:rsidRPr="00EC20F8">
        <w:rPr>
          <w:rFonts w:ascii="Times New Roman" w:eastAsia="Calibri" w:hAnsi="Times New Roman" w:cs="Times New Roman"/>
          <w:spacing w:val="2"/>
          <w:sz w:val="28"/>
          <w:szCs w:val="28"/>
        </w:rPr>
        <w:t>млн</w:t>
      </w:r>
      <w:proofErr w:type="spellEnd"/>
      <w:proofErr w:type="gramEnd"/>
      <w:r w:rsidRPr="00EC20F8">
        <w:rPr>
          <w:rFonts w:ascii="Times New Roman" w:eastAsia="Calibri" w:hAnsi="Times New Roman" w:cs="Times New Roman"/>
          <w:spacing w:val="2"/>
          <w:sz w:val="28"/>
          <w:szCs w:val="28"/>
        </w:rPr>
        <w:t xml:space="preserve"> рублей. Объем производства растениеводческой и животноводческой продукции составит в 2014 году, по оценке, соответственно 54,94 и 110,04 </w:t>
      </w:r>
      <w:proofErr w:type="spellStart"/>
      <w:proofErr w:type="gramStart"/>
      <w:r w:rsidRPr="00EC20F8">
        <w:rPr>
          <w:rFonts w:ascii="Times New Roman" w:eastAsia="Calibri" w:hAnsi="Times New Roman" w:cs="Times New Roman"/>
          <w:spacing w:val="2"/>
          <w:sz w:val="28"/>
          <w:szCs w:val="28"/>
        </w:rPr>
        <w:t>млн</w:t>
      </w:r>
      <w:proofErr w:type="spellEnd"/>
      <w:proofErr w:type="gramEnd"/>
      <w:r w:rsidRPr="00EC20F8">
        <w:rPr>
          <w:rFonts w:ascii="Times New Roman" w:eastAsia="Calibri" w:hAnsi="Times New Roman" w:cs="Times New Roman"/>
          <w:spacing w:val="2"/>
          <w:sz w:val="28"/>
          <w:szCs w:val="28"/>
        </w:rPr>
        <w:t xml:space="preserve"> рублей.</w:t>
      </w:r>
    </w:p>
    <w:p w:rsidR="00946A83" w:rsidRPr="00EC20F8" w:rsidRDefault="00946A83" w:rsidP="00946A83">
      <w:pPr>
        <w:spacing w:line="240" w:lineRule="auto"/>
        <w:ind w:firstLine="709"/>
        <w:jc w:val="both"/>
        <w:rPr>
          <w:rFonts w:ascii="Times New Roman" w:eastAsia="Calibri" w:hAnsi="Times New Roman" w:cs="Times New Roman"/>
          <w:sz w:val="28"/>
          <w:szCs w:val="28"/>
          <w:lang w:eastAsia="ru-RU"/>
        </w:rPr>
      </w:pPr>
      <w:r w:rsidRPr="00EC20F8">
        <w:rPr>
          <w:rFonts w:ascii="Times New Roman" w:eastAsia="Calibri" w:hAnsi="Times New Roman" w:cs="Times New Roman"/>
          <w:sz w:val="28"/>
          <w:szCs w:val="28"/>
          <w:lang w:eastAsia="ru-RU"/>
        </w:rPr>
        <w:t xml:space="preserve">Объем продукции сельского хозяйства в хозяйствах всех категорий, по прогнозу, в 2015 году составит 174,06 </w:t>
      </w:r>
      <w:proofErr w:type="spellStart"/>
      <w:proofErr w:type="gramStart"/>
      <w:r w:rsidRPr="00EC20F8">
        <w:rPr>
          <w:rFonts w:ascii="Times New Roman" w:eastAsia="Calibri" w:hAnsi="Times New Roman" w:cs="Times New Roman"/>
          <w:sz w:val="28"/>
          <w:szCs w:val="28"/>
          <w:lang w:eastAsia="ru-RU"/>
        </w:rPr>
        <w:t>млн</w:t>
      </w:r>
      <w:proofErr w:type="spellEnd"/>
      <w:proofErr w:type="gramEnd"/>
      <w:r w:rsidRPr="00EC20F8">
        <w:rPr>
          <w:rFonts w:ascii="Times New Roman" w:eastAsia="Calibri" w:hAnsi="Times New Roman" w:cs="Times New Roman"/>
          <w:sz w:val="28"/>
          <w:szCs w:val="28"/>
          <w:lang w:eastAsia="ru-RU"/>
        </w:rPr>
        <w:t xml:space="preserve"> рублей, по первому варианту  и 173,74 </w:t>
      </w:r>
      <w:proofErr w:type="spellStart"/>
      <w:r w:rsidRPr="00EC20F8">
        <w:rPr>
          <w:rFonts w:ascii="Times New Roman" w:eastAsia="Calibri" w:hAnsi="Times New Roman" w:cs="Times New Roman"/>
          <w:sz w:val="28"/>
          <w:szCs w:val="28"/>
          <w:lang w:eastAsia="ru-RU"/>
        </w:rPr>
        <w:t>млн</w:t>
      </w:r>
      <w:proofErr w:type="spellEnd"/>
      <w:r w:rsidRPr="00EC20F8">
        <w:rPr>
          <w:rFonts w:ascii="Times New Roman" w:eastAsia="Calibri" w:hAnsi="Times New Roman" w:cs="Times New Roman"/>
          <w:sz w:val="28"/>
          <w:szCs w:val="28"/>
          <w:lang w:eastAsia="ru-RU"/>
        </w:rPr>
        <w:t xml:space="preserve"> рублей, по второму  варианту.</w:t>
      </w:r>
    </w:p>
    <w:p w:rsidR="00946A83" w:rsidRPr="00EC20F8" w:rsidRDefault="00946A83" w:rsidP="00946A83">
      <w:pPr>
        <w:spacing w:line="240" w:lineRule="auto"/>
        <w:ind w:firstLine="709"/>
        <w:jc w:val="both"/>
        <w:rPr>
          <w:rFonts w:ascii="Times New Roman" w:eastAsia="Calibri" w:hAnsi="Times New Roman" w:cs="Times New Roman"/>
          <w:sz w:val="28"/>
          <w:szCs w:val="28"/>
          <w:lang w:eastAsia="ru-RU"/>
        </w:rPr>
      </w:pPr>
      <w:r w:rsidRPr="00EC20F8">
        <w:rPr>
          <w:rFonts w:ascii="Times New Roman" w:eastAsia="Calibri" w:hAnsi="Times New Roman" w:cs="Times New Roman"/>
          <w:sz w:val="28"/>
          <w:szCs w:val="28"/>
          <w:lang w:eastAsia="ru-RU"/>
        </w:rPr>
        <w:t xml:space="preserve">В 2016 году – 183,69 и 184,75 </w:t>
      </w:r>
      <w:proofErr w:type="spellStart"/>
      <w:proofErr w:type="gramStart"/>
      <w:r w:rsidRPr="00EC20F8">
        <w:rPr>
          <w:rFonts w:ascii="Times New Roman" w:eastAsia="Calibri" w:hAnsi="Times New Roman" w:cs="Times New Roman"/>
          <w:sz w:val="28"/>
          <w:szCs w:val="28"/>
          <w:lang w:eastAsia="ru-RU"/>
        </w:rPr>
        <w:t>млн</w:t>
      </w:r>
      <w:proofErr w:type="spellEnd"/>
      <w:proofErr w:type="gramEnd"/>
      <w:r w:rsidRPr="00EC20F8">
        <w:rPr>
          <w:rFonts w:ascii="Times New Roman" w:eastAsia="Calibri" w:hAnsi="Times New Roman" w:cs="Times New Roman"/>
          <w:sz w:val="28"/>
          <w:szCs w:val="28"/>
          <w:lang w:eastAsia="ru-RU"/>
        </w:rPr>
        <w:t xml:space="preserve"> рублей, в 2017 году – 192,34 </w:t>
      </w:r>
      <w:proofErr w:type="spellStart"/>
      <w:r w:rsidRPr="00EC20F8">
        <w:rPr>
          <w:rFonts w:ascii="Times New Roman" w:eastAsia="Calibri" w:hAnsi="Times New Roman" w:cs="Times New Roman"/>
          <w:sz w:val="28"/>
          <w:szCs w:val="28"/>
          <w:lang w:eastAsia="ru-RU"/>
        </w:rPr>
        <w:t>млн</w:t>
      </w:r>
      <w:proofErr w:type="spellEnd"/>
      <w:r w:rsidRPr="00EC20F8">
        <w:rPr>
          <w:rFonts w:ascii="Times New Roman" w:eastAsia="Calibri" w:hAnsi="Times New Roman" w:cs="Times New Roman"/>
          <w:sz w:val="28"/>
          <w:szCs w:val="28"/>
          <w:lang w:eastAsia="ru-RU"/>
        </w:rPr>
        <w:t xml:space="preserve"> рублей и 193,65 </w:t>
      </w:r>
      <w:proofErr w:type="spellStart"/>
      <w:r w:rsidRPr="00EC20F8">
        <w:rPr>
          <w:rFonts w:ascii="Times New Roman" w:eastAsia="Calibri" w:hAnsi="Times New Roman" w:cs="Times New Roman"/>
          <w:sz w:val="28"/>
          <w:szCs w:val="28"/>
          <w:lang w:eastAsia="ru-RU"/>
        </w:rPr>
        <w:t>млн</w:t>
      </w:r>
      <w:proofErr w:type="spellEnd"/>
      <w:r w:rsidRPr="00EC20F8">
        <w:rPr>
          <w:rFonts w:ascii="Times New Roman" w:eastAsia="Calibri" w:hAnsi="Times New Roman" w:cs="Times New Roman"/>
          <w:sz w:val="28"/>
          <w:szCs w:val="28"/>
          <w:lang w:eastAsia="ru-RU"/>
        </w:rPr>
        <w:t xml:space="preserve"> рублей, соответственно по первому и второму  вариантам (рисунок 21.2.):</w:t>
      </w:r>
    </w:p>
    <w:p w:rsidR="00946A83" w:rsidRPr="00EC20F8" w:rsidRDefault="00946A83" w:rsidP="00946A83">
      <w:pPr>
        <w:spacing w:line="240" w:lineRule="auto"/>
        <w:ind w:firstLine="709"/>
        <w:jc w:val="both"/>
        <w:rPr>
          <w:rFonts w:ascii="Times New Roman" w:eastAsia="Calibri" w:hAnsi="Times New Roman" w:cs="Times New Roman"/>
          <w:sz w:val="12"/>
          <w:szCs w:val="12"/>
          <w:lang w:eastAsia="ru-RU"/>
        </w:rPr>
      </w:pPr>
    </w:p>
    <w:p w:rsidR="00946A83" w:rsidRPr="00EC20F8" w:rsidRDefault="00946A83" w:rsidP="00946A83">
      <w:pPr>
        <w:spacing w:line="240" w:lineRule="auto"/>
        <w:ind w:firstLine="709"/>
        <w:jc w:val="both"/>
        <w:rPr>
          <w:rFonts w:ascii="Times New Roman" w:eastAsia="Calibri" w:hAnsi="Times New Roman" w:cs="Times New Roman"/>
          <w:sz w:val="28"/>
          <w:szCs w:val="28"/>
          <w:lang w:eastAsia="ru-RU"/>
        </w:rPr>
      </w:pPr>
      <w:r w:rsidRPr="00EC20F8">
        <w:rPr>
          <w:rFonts w:ascii="Times New Roman" w:eastAsia="Calibri" w:hAnsi="Times New Roman" w:cs="Times New Roman"/>
          <w:noProof/>
          <w:sz w:val="28"/>
          <w:szCs w:val="28"/>
          <w:lang w:eastAsia="ru-RU"/>
        </w:rPr>
        <w:drawing>
          <wp:inline distT="0" distB="0" distL="0" distR="0">
            <wp:extent cx="5324475" cy="2343150"/>
            <wp:effectExtent l="0" t="0" r="0" b="0"/>
            <wp:docPr id="36" name="Диаграмма 3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946A83" w:rsidRPr="00EC20F8" w:rsidRDefault="00946A83" w:rsidP="00946A83">
      <w:pPr>
        <w:spacing w:line="240" w:lineRule="auto"/>
        <w:jc w:val="center"/>
        <w:rPr>
          <w:rFonts w:ascii="Calibri" w:eastAsia="Calibri" w:hAnsi="Calibri" w:cs="Times New Roman"/>
        </w:rPr>
      </w:pPr>
      <w:r w:rsidRPr="00EC20F8">
        <w:rPr>
          <w:rFonts w:ascii="Times New Roman" w:eastAsia="Calibri" w:hAnsi="Times New Roman" w:cs="Times New Roman"/>
          <w:i/>
          <w:iCs/>
          <w:spacing w:val="2"/>
          <w:sz w:val="24"/>
          <w:szCs w:val="24"/>
        </w:rPr>
        <w:t xml:space="preserve">Рис.21.2.  Прогноз объемов продукции сельского хозяйства в хозяйствах всех категорий, в </w:t>
      </w:r>
      <w:proofErr w:type="spellStart"/>
      <w:proofErr w:type="gramStart"/>
      <w:r w:rsidRPr="00EC20F8">
        <w:rPr>
          <w:rFonts w:ascii="Times New Roman" w:eastAsia="Calibri" w:hAnsi="Times New Roman" w:cs="Times New Roman"/>
          <w:i/>
          <w:iCs/>
          <w:spacing w:val="2"/>
          <w:sz w:val="24"/>
          <w:szCs w:val="24"/>
        </w:rPr>
        <w:t>млн</w:t>
      </w:r>
      <w:proofErr w:type="spellEnd"/>
      <w:proofErr w:type="gramEnd"/>
      <w:r w:rsidRPr="00EC20F8">
        <w:rPr>
          <w:rFonts w:ascii="Times New Roman" w:eastAsia="Calibri" w:hAnsi="Times New Roman" w:cs="Times New Roman"/>
          <w:i/>
          <w:iCs/>
          <w:spacing w:val="2"/>
          <w:sz w:val="24"/>
          <w:szCs w:val="24"/>
        </w:rPr>
        <w:t xml:space="preserve"> рублей </w:t>
      </w:r>
    </w:p>
    <w:p w:rsidR="00946A83" w:rsidRPr="00EC20F8" w:rsidRDefault="00946A83" w:rsidP="00946A83">
      <w:pPr>
        <w:spacing w:line="240" w:lineRule="auto"/>
        <w:ind w:firstLine="709"/>
        <w:jc w:val="both"/>
        <w:rPr>
          <w:rFonts w:ascii="Times New Roman" w:eastAsia="Calibri" w:hAnsi="Times New Roman" w:cs="Times New Roman"/>
          <w:sz w:val="28"/>
          <w:szCs w:val="28"/>
          <w:lang w:eastAsia="ru-RU"/>
        </w:rPr>
      </w:pPr>
      <w:r w:rsidRPr="00EC20F8">
        <w:rPr>
          <w:rFonts w:ascii="Times New Roman" w:eastAsia="Calibri" w:hAnsi="Times New Roman" w:cs="Times New Roman"/>
          <w:sz w:val="28"/>
          <w:szCs w:val="28"/>
          <w:lang w:eastAsia="ru-RU"/>
        </w:rPr>
        <w:t>Индекс производства продукции сельского хозяйства в хозяйствах всех категорий прогнозируется:</w:t>
      </w:r>
    </w:p>
    <w:p w:rsidR="00946A83" w:rsidRPr="00EC20F8" w:rsidRDefault="00946A83" w:rsidP="00946A83">
      <w:pPr>
        <w:spacing w:line="240" w:lineRule="auto"/>
        <w:ind w:firstLine="709"/>
        <w:jc w:val="both"/>
        <w:rPr>
          <w:rFonts w:ascii="Times New Roman" w:eastAsia="Calibri" w:hAnsi="Times New Roman" w:cs="Times New Roman"/>
          <w:sz w:val="28"/>
          <w:szCs w:val="28"/>
          <w:lang w:eastAsia="ru-RU"/>
        </w:rPr>
      </w:pPr>
      <w:r w:rsidRPr="00EC20F8">
        <w:rPr>
          <w:rFonts w:ascii="Times New Roman" w:eastAsia="Calibri" w:hAnsi="Times New Roman" w:cs="Times New Roman"/>
          <w:sz w:val="28"/>
          <w:szCs w:val="28"/>
          <w:lang w:eastAsia="ru-RU"/>
        </w:rPr>
        <w:t xml:space="preserve">по первому варианту в 2015 году – 100,10 %, в 2016 году – 100,03 %, в 2017 году – 100,02 %; </w:t>
      </w:r>
    </w:p>
    <w:p w:rsidR="00946A83" w:rsidRPr="00EC20F8" w:rsidRDefault="00946A83" w:rsidP="00946A83">
      <w:pPr>
        <w:spacing w:line="240" w:lineRule="auto"/>
        <w:ind w:firstLine="709"/>
        <w:jc w:val="both"/>
        <w:rPr>
          <w:rFonts w:ascii="Times New Roman" w:eastAsia="Calibri" w:hAnsi="Times New Roman" w:cs="Times New Roman"/>
          <w:sz w:val="28"/>
          <w:szCs w:val="28"/>
          <w:lang w:eastAsia="ru-RU"/>
        </w:rPr>
      </w:pPr>
      <w:r w:rsidRPr="00EC20F8">
        <w:rPr>
          <w:rFonts w:ascii="Times New Roman" w:eastAsia="Calibri" w:hAnsi="Times New Roman" w:cs="Times New Roman"/>
          <w:sz w:val="28"/>
          <w:szCs w:val="28"/>
          <w:lang w:eastAsia="ru-RU"/>
        </w:rPr>
        <w:t>по второму варианту в 2015 году 100,30 %, в 2016 году –101,08 %, в 2017 году –100,30 %.</w:t>
      </w:r>
    </w:p>
    <w:p w:rsidR="00946A83" w:rsidRPr="00EC20F8" w:rsidRDefault="00946A83" w:rsidP="00660F7A">
      <w:pPr>
        <w:autoSpaceDE w:val="0"/>
        <w:autoSpaceDN w:val="0"/>
        <w:adjustRightInd w:val="0"/>
        <w:spacing w:line="240" w:lineRule="auto"/>
        <w:jc w:val="center"/>
        <w:outlineLvl w:val="0"/>
        <w:rPr>
          <w:rFonts w:ascii="Times New Roman" w:hAnsi="Times New Roman" w:cs="Times New Roman"/>
          <w:b/>
          <w:sz w:val="28"/>
          <w:szCs w:val="28"/>
        </w:rPr>
      </w:pPr>
    </w:p>
    <w:p w:rsidR="00660F7A" w:rsidRPr="00EC20F8" w:rsidRDefault="00660F7A" w:rsidP="00660F7A">
      <w:pPr>
        <w:autoSpaceDE w:val="0"/>
        <w:autoSpaceDN w:val="0"/>
        <w:adjustRightInd w:val="0"/>
        <w:spacing w:line="240" w:lineRule="auto"/>
        <w:jc w:val="center"/>
        <w:outlineLvl w:val="0"/>
        <w:rPr>
          <w:rFonts w:ascii="Times New Roman" w:hAnsi="Times New Roman" w:cs="Times New Roman"/>
          <w:b/>
          <w:sz w:val="28"/>
          <w:szCs w:val="28"/>
        </w:rPr>
      </w:pPr>
      <w:bookmarkStart w:id="151" w:name="_Toc400529691"/>
      <w:r w:rsidRPr="00EC20F8">
        <w:rPr>
          <w:rFonts w:ascii="Times New Roman" w:hAnsi="Times New Roman" w:cs="Times New Roman"/>
          <w:b/>
          <w:sz w:val="28"/>
          <w:szCs w:val="28"/>
        </w:rPr>
        <w:t>22. Транспорт</w:t>
      </w:r>
      <w:bookmarkEnd w:id="144"/>
      <w:bookmarkEnd w:id="145"/>
      <w:bookmarkEnd w:id="146"/>
      <w:bookmarkEnd w:id="151"/>
    </w:p>
    <w:p w:rsidR="00660F7A" w:rsidRPr="00EC20F8" w:rsidRDefault="00660F7A" w:rsidP="00660F7A">
      <w:pPr>
        <w:widowControl w:val="0"/>
        <w:spacing w:line="240" w:lineRule="auto"/>
        <w:jc w:val="both"/>
        <w:rPr>
          <w:rFonts w:ascii="Times New Roman" w:eastAsia="Courier New" w:hAnsi="Times New Roman" w:cs="Times New Roman"/>
          <w:sz w:val="24"/>
          <w:szCs w:val="24"/>
          <w:lang w:eastAsia="ru-RU"/>
        </w:rPr>
      </w:pPr>
    </w:p>
    <w:p w:rsidR="00660F7A" w:rsidRPr="00EC20F8" w:rsidRDefault="00660F7A" w:rsidP="00660F7A">
      <w:pPr>
        <w:autoSpaceDE w:val="0"/>
        <w:autoSpaceDN w:val="0"/>
        <w:adjustRightInd w:val="0"/>
        <w:spacing w:line="240" w:lineRule="auto"/>
        <w:jc w:val="center"/>
        <w:outlineLvl w:val="0"/>
        <w:rPr>
          <w:rFonts w:ascii="Times New Roman" w:hAnsi="Times New Roman" w:cs="Times New Roman"/>
          <w:sz w:val="28"/>
          <w:szCs w:val="28"/>
        </w:rPr>
      </w:pPr>
      <w:bookmarkStart w:id="152" w:name="_Toc368988925"/>
      <w:bookmarkStart w:id="153" w:name="_Toc368930867"/>
      <w:bookmarkStart w:id="154" w:name="_Toc368930243"/>
      <w:bookmarkStart w:id="155" w:name="_Toc400529692"/>
      <w:r w:rsidRPr="00EC20F8">
        <w:rPr>
          <w:rFonts w:ascii="Times New Roman" w:hAnsi="Times New Roman" w:cs="Times New Roman"/>
          <w:sz w:val="28"/>
          <w:szCs w:val="28"/>
        </w:rPr>
        <w:t>22.1. Дорожная сеть</w:t>
      </w:r>
      <w:bookmarkEnd w:id="152"/>
      <w:bookmarkEnd w:id="153"/>
      <w:bookmarkEnd w:id="154"/>
      <w:bookmarkEnd w:id="155"/>
    </w:p>
    <w:p w:rsidR="00660F7A" w:rsidRPr="00EC20F8" w:rsidRDefault="00660F7A" w:rsidP="00660F7A">
      <w:pPr>
        <w:widowControl w:val="0"/>
        <w:spacing w:line="240" w:lineRule="auto"/>
        <w:rPr>
          <w:rFonts w:ascii="Courier New" w:eastAsia="Courier New" w:hAnsi="Courier New" w:cs="Courier New"/>
          <w:sz w:val="24"/>
          <w:szCs w:val="24"/>
        </w:rPr>
      </w:pPr>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 xml:space="preserve">Общая протяженность муниципальных автомобильных дорог в </w:t>
      </w:r>
      <w:proofErr w:type="gramStart"/>
      <w:r w:rsidRPr="00EC20F8">
        <w:rPr>
          <w:rFonts w:ascii="Times New Roman" w:eastAsia="Courier New" w:hAnsi="Times New Roman" w:cs="Times New Roman"/>
          <w:sz w:val="28"/>
          <w:szCs w:val="28"/>
          <w:lang w:eastAsia="ru-RU"/>
        </w:rPr>
        <w:t>Петропавловск-Камчатском</w:t>
      </w:r>
      <w:proofErr w:type="gramEnd"/>
      <w:r w:rsidRPr="00EC20F8">
        <w:rPr>
          <w:rFonts w:ascii="Times New Roman" w:eastAsia="Courier New" w:hAnsi="Times New Roman" w:cs="Times New Roman"/>
          <w:sz w:val="28"/>
          <w:szCs w:val="28"/>
          <w:lang w:eastAsia="ru-RU"/>
        </w:rPr>
        <w:t xml:space="preserve"> городском округе составляет 387,2 км, из них 88,9 км – магистральные, 298,3 км – внутриквартальные, в т.ч. общая площадь эксплуатируемой муниципальной дорожной сети составляет 2 545,6 тыс.кв.м.</w:t>
      </w:r>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proofErr w:type="gramStart"/>
      <w:r w:rsidRPr="00EC20F8">
        <w:rPr>
          <w:rFonts w:ascii="Times New Roman" w:eastAsia="Courier New" w:hAnsi="Times New Roman" w:cs="Times New Roman"/>
          <w:sz w:val="28"/>
          <w:szCs w:val="28"/>
          <w:lang w:eastAsia="ru-RU"/>
        </w:rPr>
        <w:t>Основные мероприятий по восстановлению и ремонту улично-дорожной сети городского округа в 2013 году производились в рамках муниципальной целевой программы «Комплексное благоустройство Петропавловск - Камчатского городского округа на 2013 год»: отремонтировано 136,2 тысяч кв. м дорог общего пользования местного значения, восстановлено 45,2 тысяч кв. м внутриквартальных дорог, отремонтировано 48,6 тысяч кв. м придомовых проездов.</w:t>
      </w:r>
      <w:proofErr w:type="gramEnd"/>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В рамках текущего содержания выполнены работы по ямочному ремонту дорог на площади 12,5 тысяч кв. м.</w:t>
      </w:r>
    </w:p>
    <w:p w:rsidR="007A3C74" w:rsidRPr="00EC20F8" w:rsidRDefault="007A3C74" w:rsidP="00660F7A">
      <w:pPr>
        <w:widowControl w:val="0"/>
        <w:spacing w:line="240" w:lineRule="auto"/>
        <w:ind w:firstLine="709"/>
        <w:jc w:val="both"/>
        <w:rPr>
          <w:rFonts w:ascii="Times New Roman" w:eastAsia="Courier New" w:hAnsi="Times New Roman" w:cs="Times New Roman"/>
          <w:sz w:val="28"/>
          <w:szCs w:val="28"/>
          <w:lang w:eastAsia="ru-RU"/>
        </w:rPr>
      </w:pPr>
    </w:p>
    <w:p w:rsidR="00660F7A" w:rsidRPr="00EC20F8" w:rsidRDefault="00660F7A" w:rsidP="00660F7A">
      <w:pPr>
        <w:widowControl w:val="0"/>
        <w:spacing w:line="240" w:lineRule="auto"/>
        <w:ind w:firstLine="709"/>
        <w:jc w:val="center"/>
        <w:rPr>
          <w:rFonts w:ascii="Times New Roman" w:eastAsia="Courier New" w:hAnsi="Times New Roman" w:cs="Times New Roman"/>
          <w:sz w:val="24"/>
          <w:szCs w:val="24"/>
          <w:lang w:eastAsia="ru-RU"/>
        </w:rPr>
      </w:pPr>
      <w:r w:rsidRPr="00EC20F8">
        <w:rPr>
          <w:rFonts w:ascii="Times New Roman" w:eastAsia="Courier New" w:hAnsi="Times New Roman" w:cs="Times New Roman"/>
          <w:sz w:val="24"/>
          <w:szCs w:val="24"/>
          <w:lang w:eastAsia="ru-RU"/>
        </w:rPr>
        <w:t>Выполнение работ по ремонту дорог города Петропавловска-Камчатского</w:t>
      </w:r>
    </w:p>
    <w:p w:rsidR="00660F7A" w:rsidRPr="00EC20F8" w:rsidRDefault="00660F7A" w:rsidP="00660F7A">
      <w:pPr>
        <w:widowControl w:val="0"/>
        <w:spacing w:line="240" w:lineRule="auto"/>
        <w:ind w:firstLine="709"/>
        <w:jc w:val="center"/>
        <w:rPr>
          <w:rFonts w:ascii="Times New Roman" w:eastAsia="Courier New" w:hAnsi="Times New Roman" w:cs="Times New Roman"/>
          <w:sz w:val="12"/>
          <w:szCs w:val="12"/>
          <w:lang w:eastAsia="ru-RU"/>
        </w:rPr>
      </w:pPr>
    </w:p>
    <w:p w:rsidR="00660F7A" w:rsidRPr="00EC20F8" w:rsidRDefault="00660F7A" w:rsidP="00660F7A">
      <w:pPr>
        <w:widowControl w:val="0"/>
        <w:spacing w:line="240" w:lineRule="auto"/>
        <w:ind w:firstLine="709"/>
        <w:rPr>
          <w:rFonts w:ascii="Times New Roman" w:eastAsia="Courier New" w:hAnsi="Times New Roman" w:cs="Times New Roman"/>
          <w:i/>
          <w:sz w:val="24"/>
          <w:szCs w:val="24"/>
          <w:lang w:eastAsia="ru-RU"/>
        </w:rPr>
      </w:pPr>
      <w:r w:rsidRPr="00EC20F8">
        <w:rPr>
          <w:rFonts w:ascii="Times New Roman" w:eastAsia="Courier New" w:hAnsi="Times New Roman" w:cs="Times New Roman"/>
          <w:i/>
          <w:sz w:val="24"/>
          <w:szCs w:val="24"/>
          <w:lang w:eastAsia="ru-RU"/>
        </w:rPr>
        <w:t xml:space="preserve">                                                                                                                       Таблица 1 </w:t>
      </w:r>
    </w:p>
    <w:tbl>
      <w:tblPr>
        <w:tblW w:w="4595" w:type="pct"/>
        <w:jc w:val="center"/>
        <w:tblLook w:val="00A0"/>
      </w:tblPr>
      <w:tblGrid>
        <w:gridCol w:w="1716"/>
        <w:gridCol w:w="1416"/>
        <w:gridCol w:w="1416"/>
        <w:gridCol w:w="1416"/>
        <w:gridCol w:w="1416"/>
        <w:gridCol w:w="1416"/>
      </w:tblGrid>
      <w:tr w:rsidR="00660F7A" w:rsidRPr="00EC20F8" w:rsidTr="00660F7A">
        <w:trPr>
          <w:trHeight w:val="290"/>
          <w:jc w:val="center"/>
        </w:trPr>
        <w:tc>
          <w:tcPr>
            <w:tcW w:w="1716" w:type="dxa"/>
            <w:vMerge w:val="restart"/>
            <w:tcBorders>
              <w:top w:val="single" w:sz="8" w:space="0" w:color="auto"/>
              <w:left w:val="single" w:sz="8" w:space="0" w:color="auto"/>
              <w:bottom w:val="single" w:sz="8" w:space="0" w:color="000000"/>
              <w:right w:val="single" w:sz="8" w:space="0" w:color="auto"/>
            </w:tcBorders>
            <w:vAlign w:val="center"/>
            <w:hideMark/>
          </w:tcPr>
          <w:p w:rsidR="00660F7A" w:rsidRPr="00EC20F8" w:rsidRDefault="00660F7A" w:rsidP="00660F7A">
            <w:pPr>
              <w:widowControl w:val="0"/>
              <w:spacing w:line="240" w:lineRule="auto"/>
              <w:ind w:firstLine="39"/>
              <w:jc w:val="center"/>
              <w:rPr>
                <w:rFonts w:ascii="Times New Roman" w:eastAsia="Courier New" w:hAnsi="Times New Roman" w:cs="Times New Roman"/>
                <w:sz w:val="20"/>
                <w:szCs w:val="20"/>
                <w:lang w:eastAsia="ru-RU"/>
              </w:rPr>
            </w:pPr>
            <w:r w:rsidRPr="00EC20F8">
              <w:rPr>
                <w:rFonts w:ascii="Times New Roman" w:eastAsia="Courier New" w:hAnsi="Times New Roman" w:cs="Times New Roman"/>
                <w:sz w:val="20"/>
                <w:szCs w:val="20"/>
                <w:lang w:eastAsia="ru-RU"/>
              </w:rPr>
              <w:t>Наименование показателей</w:t>
            </w:r>
          </w:p>
        </w:tc>
        <w:tc>
          <w:tcPr>
            <w:tcW w:w="1416" w:type="dxa"/>
            <w:tcBorders>
              <w:top w:val="single" w:sz="8" w:space="0" w:color="auto"/>
              <w:left w:val="nil"/>
              <w:bottom w:val="single" w:sz="4" w:space="0" w:color="auto"/>
              <w:right w:val="nil"/>
            </w:tcBorders>
            <w:vAlign w:val="bottom"/>
            <w:hideMark/>
          </w:tcPr>
          <w:p w:rsidR="00660F7A" w:rsidRPr="00EC20F8" w:rsidRDefault="00660F7A" w:rsidP="00660F7A">
            <w:pPr>
              <w:widowControl w:val="0"/>
              <w:spacing w:line="240" w:lineRule="auto"/>
              <w:ind w:firstLine="709"/>
              <w:jc w:val="center"/>
              <w:rPr>
                <w:rFonts w:ascii="Times New Roman" w:eastAsia="Courier New" w:hAnsi="Times New Roman" w:cs="Times New Roman"/>
                <w:sz w:val="24"/>
                <w:szCs w:val="24"/>
                <w:lang w:eastAsia="ru-RU"/>
              </w:rPr>
            </w:pPr>
            <w:r w:rsidRPr="00EC20F8">
              <w:rPr>
                <w:rFonts w:ascii="Times New Roman" w:eastAsia="Courier New" w:hAnsi="Times New Roman" w:cs="Times New Roman"/>
                <w:sz w:val="24"/>
                <w:szCs w:val="24"/>
                <w:lang w:eastAsia="ru-RU"/>
              </w:rPr>
              <w:t>2009</w:t>
            </w:r>
          </w:p>
        </w:tc>
        <w:tc>
          <w:tcPr>
            <w:tcW w:w="1416" w:type="dxa"/>
            <w:tcBorders>
              <w:top w:val="single" w:sz="8" w:space="0" w:color="auto"/>
              <w:left w:val="single" w:sz="8" w:space="0" w:color="auto"/>
              <w:bottom w:val="single" w:sz="4" w:space="0" w:color="auto"/>
              <w:right w:val="nil"/>
            </w:tcBorders>
            <w:vAlign w:val="bottom"/>
            <w:hideMark/>
          </w:tcPr>
          <w:p w:rsidR="00660F7A" w:rsidRPr="00EC20F8" w:rsidRDefault="00660F7A" w:rsidP="00660F7A">
            <w:pPr>
              <w:widowControl w:val="0"/>
              <w:spacing w:line="240" w:lineRule="auto"/>
              <w:ind w:firstLine="709"/>
              <w:jc w:val="center"/>
              <w:rPr>
                <w:rFonts w:ascii="Times New Roman" w:eastAsia="Courier New" w:hAnsi="Times New Roman" w:cs="Times New Roman"/>
                <w:sz w:val="24"/>
                <w:szCs w:val="24"/>
                <w:lang w:eastAsia="ru-RU"/>
              </w:rPr>
            </w:pPr>
            <w:r w:rsidRPr="00EC20F8">
              <w:rPr>
                <w:rFonts w:ascii="Times New Roman" w:eastAsia="Courier New" w:hAnsi="Times New Roman" w:cs="Times New Roman"/>
                <w:sz w:val="24"/>
                <w:szCs w:val="24"/>
                <w:lang w:eastAsia="ru-RU"/>
              </w:rPr>
              <w:t>2010</w:t>
            </w:r>
          </w:p>
        </w:tc>
        <w:tc>
          <w:tcPr>
            <w:tcW w:w="1416" w:type="dxa"/>
            <w:tcBorders>
              <w:top w:val="single" w:sz="8" w:space="0" w:color="auto"/>
              <w:left w:val="single" w:sz="8" w:space="0" w:color="auto"/>
              <w:bottom w:val="single" w:sz="4" w:space="0" w:color="auto"/>
              <w:right w:val="nil"/>
            </w:tcBorders>
            <w:vAlign w:val="bottom"/>
            <w:hideMark/>
          </w:tcPr>
          <w:p w:rsidR="00660F7A" w:rsidRPr="00EC20F8" w:rsidRDefault="00660F7A" w:rsidP="00660F7A">
            <w:pPr>
              <w:widowControl w:val="0"/>
              <w:spacing w:line="240" w:lineRule="auto"/>
              <w:ind w:firstLine="709"/>
              <w:jc w:val="center"/>
              <w:rPr>
                <w:rFonts w:ascii="Times New Roman" w:eastAsia="Courier New" w:hAnsi="Times New Roman" w:cs="Times New Roman"/>
                <w:sz w:val="24"/>
                <w:szCs w:val="24"/>
                <w:lang w:eastAsia="ru-RU"/>
              </w:rPr>
            </w:pPr>
            <w:r w:rsidRPr="00EC20F8">
              <w:rPr>
                <w:rFonts w:ascii="Times New Roman" w:eastAsia="Courier New" w:hAnsi="Times New Roman" w:cs="Times New Roman"/>
                <w:sz w:val="24"/>
                <w:szCs w:val="24"/>
                <w:lang w:eastAsia="ru-RU"/>
              </w:rPr>
              <w:t>2011</w:t>
            </w:r>
          </w:p>
        </w:tc>
        <w:tc>
          <w:tcPr>
            <w:tcW w:w="1416" w:type="dxa"/>
            <w:tcBorders>
              <w:top w:val="single" w:sz="8" w:space="0" w:color="auto"/>
              <w:left w:val="single" w:sz="8" w:space="0" w:color="auto"/>
              <w:bottom w:val="single" w:sz="4" w:space="0" w:color="auto"/>
              <w:right w:val="nil"/>
            </w:tcBorders>
            <w:vAlign w:val="bottom"/>
            <w:hideMark/>
          </w:tcPr>
          <w:p w:rsidR="00660F7A" w:rsidRPr="00EC20F8" w:rsidRDefault="00660F7A" w:rsidP="00660F7A">
            <w:pPr>
              <w:widowControl w:val="0"/>
              <w:spacing w:line="240" w:lineRule="auto"/>
              <w:ind w:firstLine="709"/>
              <w:jc w:val="center"/>
              <w:rPr>
                <w:rFonts w:ascii="Times New Roman" w:eastAsia="Courier New" w:hAnsi="Times New Roman" w:cs="Times New Roman"/>
                <w:sz w:val="24"/>
                <w:szCs w:val="24"/>
                <w:lang w:eastAsia="ru-RU"/>
              </w:rPr>
            </w:pPr>
            <w:r w:rsidRPr="00EC20F8">
              <w:rPr>
                <w:rFonts w:ascii="Times New Roman" w:eastAsia="Courier New" w:hAnsi="Times New Roman" w:cs="Times New Roman"/>
                <w:sz w:val="24"/>
                <w:szCs w:val="24"/>
                <w:lang w:eastAsia="ru-RU"/>
              </w:rPr>
              <w:t>2012</w:t>
            </w:r>
          </w:p>
        </w:tc>
        <w:tc>
          <w:tcPr>
            <w:tcW w:w="1416" w:type="dxa"/>
            <w:tcBorders>
              <w:top w:val="single" w:sz="8" w:space="0" w:color="auto"/>
              <w:left w:val="single" w:sz="8" w:space="0" w:color="auto"/>
              <w:bottom w:val="single" w:sz="4" w:space="0" w:color="auto"/>
              <w:right w:val="single" w:sz="4" w:space="0" w:color="auto"/>
            </w:tcBorders>
            <w:vAlign w:val="bottom"/>
            <w:hideMark/>
          </w:tcPr>
          <w:p w:rsidR="00660F7A" w:rsidRPr="00EC20F8" w:rsidRDefault="00660F7A" w:rsidP="00660F7A">
            <w:pPr>
              <w:widowControl w:val="0"/>
              <w:spacing w:line="240" w:lineRule="auto"/>
              <w:ind w:firstLine="709"/>
              <w:jc w:val="center"/>
              <w:rPr>
                <w:rFonts w:ascii="Times New Roman" w:eastAsia="Courier New" w:hAnsi="Times New Roman" w:cs="Times New Roman"/>
                <w:sz w:val="24"/>
                <w:szCs w:val="24"/>
                <w:lang w:eastAsia="ru-RU"/>
              </w:rPr>
            </w:pPr>
            <w:r w:rsidRPr="00EC20F8">
              <w:rPr>
                <w:rFonts w:ascii="Times New Roman" w:eastAsia="Courier New" w:hAnsi="Times New Roman" w:cs="Times New Roman"/>
                <w:sz w:val="24"/>
                <w:szCs w:val="24"/>
                <w:lang w:eastAsia="ru-RU"/>
              </w:rPr>
              <w:t>2013</w:t>
            </w:r>
          </w:p>
        </w:tc>
      </w:tr>
      <w:tr w:rsidR="00660F7A" w:rsidRPr="00EC20F8" w:rsidTr="00660F7A">
        <w:trPr>
          <w:trHeight w:val="759"/>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660F7A" w:rsidRPr="00EC20F8" w:rsidRDefault="00660F7A" w:rsidP="00660F7A">
            <w:pPr>
              <w:widowControl w:val="0"/>
              <w:spacing w:line="240" w:lineRule="auto"/>
              <w:ind w:firstLine="709"/>
              <w:rPr>
                <w:rFonts w:ascii="Times New Roman" w:eastAsia="Courier New" w:hAnsi="Times New Roman" w:cs="Times New Roman"/>
                <w:sz w:val="20"/>
                <w:szCs w:val="20"/>
                <w:lang w:eastAsia="ru-RU"/>
              </w:rPr>
            </w:pPr>
          </w:p>
        </w:tc>
        <w:tc>
          <w:tcPr>
            <w:tcW w:w="1416" w:type="dxa"/>
            <w:tcBorders>
              <w:top w:val="single" w:sz="4" w:space="0" w:color="auto"/>
              <w:left w:val="single" w:sz="4" w:space="0" w:color="auto"/>
              <w:bottom w:val="single" w:sz="4" w:space="0" w:color="auto"/>
              <w:right w:val="single" w:sz="4" w:space="0" w:color="auto"/>
            </w:tcBorders>
            <w:vAlign w:val="bottom"/>
            <w:hideMark/>
          </w:tcPr>
          <w:p w:rsidR="00660F7A" w:rsidRPr="00EC20F8" w:rsidRDefault="00660F7A" w:rsidP="00660F7A">
            <w:pPr>
              <w:widowControl w:val="0"/>
              <w:spacing w:line="240" w:lineRule="auto"/>
              <w:jc w:val="center"/>
              <w:rPr>
                <w:rFonts w:ascii="Times New Roman" w:eastAsia="Courier New" w:hAnsi="Times New Roman" w:cs="Times New Roman"/>
                <w:sz w:val="24"/>
                <w:szCs w:val="24"/>
                <w:lang w:eastAsia="ru-RU"/>
              </w:rPr>
            </w:pPr>
            <w:r w:rsidRPr="00EC20F8">
              <w:rPr>
                <w:rFonts w:ascii="Times New Roman" w:eastAsia="Courier New" w:hAnsi="Times New Roman" w:cs="Times New Roman"/>
                <w:lang w:eastAsia="ru-RU"/>
              </w:rPr>
              <w:t>тысяч квадратных метров</w:t>
            </w:r>
          </w:p>
        </w:tc>
        <w:tc>
          <w:tcPr>
            <w:tcW w:w="1416" w:type="dxa"/>
            <w:tcBorders>
              <w:top w:val="single" w:sz="4" w:space="0" w:color="auto"/>
              <w:left w:val="single" w:sz="4" w:space="0" w:color="auto"/>
              <w:bottom w:val="single" w:sz="4" w:space="0" w:color="auto"/>
              <w:right w:val="single" w:sz="4" w:space="0" w:color="auto"/>
            </w:tcBorders>
            <w:vAlign w:val="bottom"/>
            <w:hideMark/>
          </w:tcPr>
          <w:p w:rsidR="00660F7A" w:rsidRPr="00EC20F8" w:rsidRDefault="00660F7A" w:rsidP="00660F7A">
            <w:pPr>
              <w:widowControl w:val="0"/>
              <w:spacing w:line="240" w:lineRule="auto"/>
              <w:ind w:firstLine="25"/>
              <w:rPr>
                <w:rFonts w:ascii="Times New Roman" w:eastAsia="Courier New" w:hAnsi="Times New Roman" w:cs="Times New Roman"/>
                <w:b/>
                <w:sz w:val="24"/>
                <w:szCs w:val="24"/>
                <w:lang w:eastAsia="ru-RU"/>
              </w:rPr>
            </w:pPr>
            <w:r w:rsidRPr="00EC20F8">
              <w:rPr>
                <w:rFonts w:ascii="Times New Roman" w:eastAsia="Courier New" w:hAnsi="Times New Roman" w:cs="Times New Roman"/>
                <w:lang w:eastAsia="ru-RU"/>
              </w:rPr>
              <w:t>тысяч квадратных метров</w:t>
            </w:r>
          </w:p>
        </w:tc>
        <w:tc>
          <w:tcPr>
            <w:tcW w:w="1416" w:type="dxa"/>
            <w:tcBorders>
              <w:top w:val="single" w:sz="4" w:space="0" w:color="auto"/>
              <w:left w:val="single" w:sz="4" w:space="0" w:color="auto"/>
              <w:bottom w:val="single" w:sz="4" w:space="0" w:color="auto"/>
              <w:right w:val="single" w:sz="4" w:space="0" w:color="auto"/>
            </w:tcBorders>
            <w:vAlign w:val="bottom"/>
            <w:hideMark/>
          </w:tcPr>
          <w:p w:rsidR="00660F7A" w:rsidRPr="00EC20F8" w:rsidRDefault="00660F7A" w:rsidP="00660F7A">
            <w:pPr>
              <w:widowControl w:val="0"/>
              <w:spacing w:line="240" w:lineRule="auto"/>
              <w:ind w:firstLine="27"/>
              <w:jc w:val="center"/>
              <w:rPr>
                <w:rFonts w:ascii="Times New Roman" w:eastAsia="Courier New" w:hAnsi="Times New Roman" w:cs="Times New Roman"/>
                <w:sz w:val="24"/>
                <w:szCs w:val="24"/>
                <w:lang w:eastAsia="ru-RU"/>
              </w:rPr>
            </w:pPr>
            <w:r w:rsidRPr="00EC20F8">
              <w:rPr>
                <w:rFonts w:ascii="Times New Roman" w:eastAsia="Courier New" w:hAnsi="Times New Roman" w:cs="Times New Roman"/>
                <w:lang w:eastAsia="ru-RU"/>
              </w:rPr>
              <w:t>тысяч квадратных метров</w:t>
            </w:r>
          </w:p>
        </w:tc>
        <w:tc>
          <w:tcPr>
            <w:tcW w:w="1416" w:type="dxa"/>
            <w:tcBorders>
              <w:top w:val="single" w:sz="4" w:space="0" w:color="auto"/>
              <w:left w:val="single" w:sz="4" w:space="0" w:color="auto"/>
              <w:bottom w:val="single" w:sz="4" w:space="0" w:color="auto"/>
              <w:right w:val="single" w:sz="4" w:space="0" w:color="auto"/>
            </w:tcBorders>
            <w:vAlign w:val="bottom"/>
            <w:hideMark/>
          </w:tcPr>
          <w:p w:rsidR="00660F7A" w:rsidRPr="00EC20F8" w:rsidRDefault="00660F7A" w:rsidP="00660F7A">
            <w:pPr>
              <w:widowControl w:val="0"/>
              <w:spacing w:line="240" w:lineRule="auto"/>
              <w:ind w:firstLine="28"/>
              <w:jc w:val="center"/>
              <w:rPr>
                <w:rFonts w:ascii="Times New Roman" w:eastAsia="Courier New" w:hAnsi="Times New Roman" w:cs="Times New Roman"/>
                <w:sz w:val="24"/>
                <w:szCs w:val="24"/>
                <w:lang w:eastAsia="ru-RU"/>
              </w:rPr>
            </w:pPr>
            <w:r w:rsidRPr="00EC20F8">
              <w:rPr>
                <w:rFonts w:ascii="Times New Roman" w:eastAsia="Courier New" w:hAnsi="Times New Roman" w:cs="Times New Roman"/>
                <w:lang w:eastAsia="ru-RU"/>
              </w:rPr>
              <w:t>тысяч квадратных метров</w:t>
            </w:r>
          </w:p>
        </w:tc>
        <w:tc>
          <w:tcPr>
            <w:tcW w:w="1416" w:type="dxa"/>
            <w:tcBorders>
              <w:top w:val="single" w:sz="4" w:space="0" w:color="auto"/>
              <w:left w:val="single" w:sz="4" w:space="0" w:color="auto"/>
              <w:bottom w:val="single" w:sz="4" w:space="0" w:color="auto"/>
              <w:right w:val="single" w:sz="4" w:space="0" w:color="auto"/>
            </w:tcBorders>
            <w:vAlign w:val="bottom"/>
            <w:hideMark/>
          </w:tcPr>
          <w:p w:rsidR="00660F7A" w:rsidRPr="00EC20F8" w:rsidRDefault="00660F7A" w:rsidP="00660F7A">
            <w:pPr>
              <w:widowControl w:val="0"/>
              <w:spacing w:line="240" w:lineRule="auto"/>
              <w:ind w:firstLine="30"/>
              <w:jc w:val="center"/>
              <w:rPr>
                <w:rFonts w:ascii="Times New Roman" w:eastAsia="Courier New" w:hAnsi="Times New Roman" w:cs="Times New Roman"/>
                <w:sz w:val="24"/>
                <w:szCs w:val="24"/>
                <w:lang w:eastAsia="ru-RU"/>
              </w:rPr>
            </w:pPr>
            <w:r w:rsidRPr="00EC20F8">
              <w:rPr>
                <w:rFonts w:ascii="Times New Roman" w:eastAsia="Courier New" w:hAnsi="Times New Roman" w:cs="Times New Roman"/>
                <w:lang w:eastAsia="ru-RU"/>
              </w:rPr>
              <w:t>тысяч квадратных метров</w:t>
            </w:r>
          </w:p>
        </w:tc>
      </w:tr>
      <w:tr w:rsidR="00660F7A" w:rsidRPr="00EC20F8" w:rsidTr="00660F7A">
        <w:trPr>
          <w:trHeight w:val="159"/>
          <w:jc w:val="center"/>
        </w:trPr>
        <w:tc>
          <w:tcPr>
            <w:tcW w:w="1716" w:type="dxa"/>
            <w:tcBorders>
              <w:top w:val="nil"/>
              <w:left w:val="single" w:sz="8" w:space="0" w:color="auto"/>
              <w:bottom w:val="single" w:sz="8" w:space="0" w:color="auto"/>
              <w:right w:val="single" w:sz="4" w:space="0" w:color="auto"/>
            </w:tcBorders>
            <w:hideMark/>
          </w:tcPr>
          <w:p w:rsidR="00660F7A" w:rsidRPr="00EC20F8" w:rsidRDefault="00660F7A" w:rsidP="00660F7A">
            <w:pPr>
              <w:widowControl w:val="0"/>
              <w:spacing w:line="240" w:lineRule="auto"/>
              <w:ind w:firstLine="709"/>
              <w:jc w:val="center"/>
              <w:rPr>
                <w:rFonts w:ascii="Times New Roman" w:eastAsia="Courier New" w:hAnsi="Times New Roman" w:cs="Times New Roman"/>
                <w:sz w:val="18"/>
                <w:szCs w:val="18"/>
                <w:lang w:eastAsia="ru-RU"/>
              </w:rPr>
            </w:pPr>
            <w:r w:rsidRPr="00EC20F8">
              <w:rPr>
                <w:rFonts w:ascii="Times New Roman" w:eastAsia="Courier New" w:hAnsi="Times New Roman" w:cs="Times New Roman"/>
                <w:sz w:val="18"/>
                <w:szCs w:val="18"/>
                <w:lang w:eastAsia="ru-RU"/>
              </w:rPr>
              <w:t>1</w:t>
            </w:r>
          </w:p>
        </w:tc>
        <w:tc>
          <w:tcPr>
            <w:tcW w:w="1416" w:type="dxa"/>
            <w:tcBorders>
              <w:top w:val="single" w:sz="4" w:space="0" w:color="auto"/>
              <w:left w:val="single" w:sz="4" w:space="0" w:color="auto"/>
              <w:bottom w:val="single" w:sz="4" w:space="0" w:color="auto"/>
              <w:right w:val="single" w:sz="4" w:space="0" w:color="auto"/>
            </w:tcBorders>
            <w:hideMark/>
          </w:tcPr>
          <w:p w:rsidR="00660F7A" w:rsidRPr="00EC20F8" w:rsidRDefault="00660F7A" w:rsidP="00660F7A">
            <w:pPr>
              <w:widowControl w:val="0"/>
              <w:spacing w:line="240" w:lineRule="auto"/>
              <w:ind w:firstLine="709"/>
              <w:jc w:val="center"/>
              <w:rPr>
                <w:rFonts w:ascii="Times New Roman" w:eastAsia="Courier New" w:hAnsi="Times New Roman" w:cs="Times New Roman"/>
                <w:sz w:val="18"/>
                <w:szCs w:val="18"/>
                <w:lang w:eastAsia="ru-RU"/>
              </w:rPr>
            </w:pPr>
            <w:r w:rsidRPr="00EC20F8">
              <w:rPr>
                <w:rFonts w:ascii="Times New Roman" w:eastAsia="Courier New" w:hAnsi="Times New Roman" w:cs="Times New Roman"/>
                <w:sz w:val="18"/>
                <w:szCs w:val="18"/>
                <w:lang w:eastAsia="ru-RU"/>
              </w:rPr>
              <w:t>2</w:t>
            </w:r>
          </w:p>
        </w:tc>
        <w:tc>
          <w:tcPr>
            <w:tcW w:w="1416" w:type="dxa"/>
            <w:tcBorders>
              <w:top w:val="single" w:sz="4" w:space="0" w:color="auto"/>
              <w:left w:val="single" w:sz="4" w:space="0" w:color="auto"/>
              <w:bottom w:val="single" w:sz="4" w:space="0" w:color="auto"/>
              <w:right w:val="single" w:sz="4" w:space="0" w:color="auto"/>
            </w:tcBorders>
            <w:hideMark/>
          </w:tcPr>
          <w:p w:rsidR="00660F7A" w:rsidRPr="00EC20F8" w:rsidRDefault="00660F7A" w:rsidP="00660F7A">
            <w:pPr>
              <w:widowControl w:val="0"/>
              <w:spacing w:line="240" w:lineRule="auto"/>
              <w:ind w:firstLine="709"/>
              <w:jc w:val="center"/>
              <w:rPr>
                <w:rFonts w:ascii="Times New Roman" w:eastAsia="Courier New" w:hAnsi="Times New Roman" w:cs="Times New Roman"/>
                <w:sz w:val="18"/>
                <w:szCs w:val="18"/>
                <w:lang w:eastAsia="ru-RU"/>
              </w:rPr>
            </w:pPr>
            <w:r w:rsidRPr="00EC20F8">
              <w:rPr>
                <w:rFonts w:ascii="Times New Roman" w:eastAsia="Courier New" w:hAnsi="Times New Roman" w:cs="Times New Roman"/>
                <w:sz w:val="18"/>
                <w:szCs w:val="18"/>
                <w:lang w:eastAsia="ru-RU"/>
              </w:rPr>
              <w:t>3</w:t>
            </w:r>
          </w:p>
        </w:tc>
        <w:tc>
          <w:tcPr>
            <w:tcW w:w="1416" w:type="dxa"/>
            <w:tcBorders>
              <w:top w:val="single" w:sz="4" w:space="0" w:color="auto"/>
              <w:left w:val="single" w:sz="4" w:space="0" w:color="auto"/>
              <w:bottom w:val="single" w:sz="4" w:space="0" w:color="auto"/>
              <w:right w:val="single" w:sz="4" w:space="0" w:color="auto"/>
            </w:tcBorders>
            <w:hideMark/>
          </w:tcPr>
          <w:p w:rsidR="00660F7A" w:rsidRPr="00EC20F8" w:rsidRDefault="00660F7A" w:rsidP="00660F7A">
            <w:pPr>
              <w:widowControl w:val="0"/>
              <w:spacing w:line="240" w:lineRule="auto"/>
              <w:ind w:firstLine="709"/>
              <w:jc w:val="center"/>
              <w:rPr>
                <w:rFonts w:ascii="Times New Roman" w:eastAsia="Courier New" w:hAnsi="Times New Roman" w:cs="Times New Roman"/>
                <w:sz w:val="18"/>
                <w:szCs w:val="18"/>
                <w:lang w:eastAsia="ru-RU"/>
              </w:rPr>
            </w:pPr>
            <w:r w:rsidRPr="00EC20F8">
              <w:rPr>
                <w:rFonts w:ascii="Times New Roman" w:eastAsia="Courier New" w:hAnsi="Times New Roman" w:cs="Times New Roman"/>
                <w:sz w:val="18"/>
                <w:szCs w:val="18"/>
                <w:lang w:eastAsia="ru-RU"/>
              </w:rPr>
              <w:t>4</w:t>
            </w:r>
          </w:p>
        </w:tc>
        <w:tc>
          <w:tcPr>
            <w:tcW w:w="1416" w:type="dxa"/>
            <w:tcBorders>
              <w:top w:val="single" w:sz="4" w:space="0" w:color="auto"/>
              <w:left w:val="single" w:sz="4" w:space="0" w:color="auto"/>
              <w:bottom w:val="single" w:sz="4" w:space="0" w:color="auto"/>
              <w:right w:val="single" w:sz="4" w:space="0" w:color="auto"/>
            </w:tcBorders>
            <w:hideMark/>
          </w:tcPr>
          <w:p w:rsidR="00660F7A" w:rsidRPr="00EC20F8" w:rsidRDefault="00660F7A" w:rsidP="00660F7A">
            <w:pPr>
              <w:widowControl w:val="0"/>
              <w:spacing w:line="240" w:lineRule="auto"/>
              <w:ind w:firstLine="709"/>
              <w:jc w:val="center"/>
              <w:rPr>
                <w:rFonts w:ascii="Times New Roman" w:eastAsia="Courier New" w:hAnsi="Times New Roman" w:cs="Times New Roman"/>
                <w:sz w:val="18"/>
                <w:szCs w:val="18"/>
                <w:lang w:eastAsia="ru-RU"/>
              </w:rPr>
            </w:pPr>
            <w:r w:rsidRPr="00EC20F8">
              <w:rPr>
                <w:rFonts w:ascii="Times New Roman" w:eastAsia="Courier New" w:hAnsi="Times New Roman" w:cs="Times New Roman"/>
                <w:sz w:val="18"/>
                <w:szCs w:val="18"/>
                <w:lang w:eastAsia="ru-RU"/>
              </w:rPr>
              <w:t>5</w:t>
            </w:r>
          </w:p>
        </w:tc>
        <w:tc>
          <w:tcPr>
            <w:tcW w:w="1416" w:type="dxa"/>
            <w:tcBorders>
              <w:top w:val="single" w:sz="4" w:space="0" w:color="auto"/>
              <w:left w:val="single" w:sz="4" w:space="0" w:color="auto"/>
              <w:bottom w:val="single" w:sz="4" w:space="0" w:color="auto"/>
              <w:right w:val="single" w:sz="4" w:space="0" w:color="auto"/>
            </w:tcBorders>
            <w:hideMark/>
          </w:tcPr>
          <w:p w:rsidR="00660F7A" w:rsidRPr="00EC20F8" w:rsidRDefault="00660F7A" w:rsidP="00660F7A">
            <w:pPr>
              <w:widowControl w:val="0"/>
              <w:spacing w:line="240" w:lineRule="auto"/>
              <w:ind w:firstLine="709"/>
              <w:jc w:val="center"/>
              <w:rPr>
                <w:rFonts w:ascii="Times New Roman" w:eastAsia="Courier New" w:hAnsi="Times New Roman" w:cs="Times New Roman"/>
                <w:sz w:val="18"/>
                <w:szCs w:val="18"/>
                <w:lang w:eastAsia="ru-RU"/>
              </w:rPr>
            </w:pPr>
            <w:r w:rsidRPr="00EC20F8">
              <w:rPr>
                <w:rFonts w:ascii="Times New Roman" w:eastAsia="Courier New" w:hAnsi="Times New Roman" w:cs="Times New Roman"/>
                <w:sz w:val="18"/>
                <w:szCs w:val="18"/>
                <w:lang w:eastAsia="ru-RU"/>
              </w:rPr>
              <w:t>6</w:t>
            </w:r>
          </w:p>
        </w:tc>
      </w:tr>
      <w:tr w:rsidR="00660F7A" w:rsidRPr="00EC20F8" w:rsidTr="00660F7A">
        <w:trPr>
          <w:trHeight w:val="305"/>
          <w:jc w:val="center"/>
        </w:trPr>
        <w:tc>
          <w:tcPr>
            <w:tcW w:w="1716" w:type="dxa"/>
            <w:tcBorders>
              <w:top w:val="nil"/>
              <w:left w:val="single" w:sz="8" w:space="0" w:color="auto"/>
              <w:bottom w:val="single" w:sz="8" w:space="0" w:color="auto"/>
              <w:right w:val="single" w:sz="8" w:space="0" w:color="auto"/>
            </w:tcBorders>
            <w:vAlign w:val="center"/>
            <w:hideMark/>
          </w:tcPr>
          <w:p w:rsidR="00660F7A" w:rsidRPr="00EC20F8" w:rsidRDefault="00660F7A" w:rsidP="00660F7A">
            <w:pPr>
              <w:widowControl w:val="0"/>
              <w:spacing w:line="240" w:lineRule="auto"/>
              <w:ind w:firstLine="39"/>
              <w:jc w:val="both"/>
              <w:rPr>
                <w:rFonts w:ascii="Times New Roman" w:eastAsia="Courier New" w:hAnsi="Times New Roman" w:cs="Times New Roman"/>
                <w:sz w:val="24"/>
                <w:szCs w:val="24"/>
                <w:lang w:eastAsia="ru-RU"/>
              </w:rPr>
            </w:pPr>
            <w:r w:rsidRPr="00EC20F8">
              <w:rPr>
                <w:rFonts w:ascii="Times New Roman" w:eastAsia="Courier New" w:hAnsi="Times New Roman" w:cs="Times New Roman"/>
                <w:sz w:val="24"/>
                <w:szCs w:val="24"/>
                <w:lang w:eastAsia="ru-RU"/>
              </w:rPr>
              <w:t>Всего ремонт дорог</w:t>
            </w:r>
          </w:p>
        </w:tc>
        <w:tc>
          <w:tcPr>
            <w:tcW w:w="1416" w:type="dxa"/>
            <w:tcBorders>
              <w:top w:val="single" w:sz="4" w:space="0" w:color="auto"/>
              <w:left w:val="nil"/>
              <w:bottom w:val="single" w:sz="8" w:space="0" w:color="auto"/>
              <w:right w:val="single" w:sz="8" w:space="0" w:color="auto"/>
            </w:tcBorders>
            <w:vAlign w:val="center"/>
            <w:hideMark/>
          </w:tcPr>
          <w:p w:rsidR="00660F7A" w:rsidRPr="00EC20F8" w:rsidRDefault="00660F7A" w:rsidP="00660F7A">
            <w:pPr>
              <w:widowControl w:val="0"/>
              <w:spacing w:line="240" w:lineRule="auto"/>
              <w:ind w:firstLine="24"/>
              <w:jc w:val="center"/>
              <w:rPr>
                <w:rFonts w:ascii="Times New Roman" w:eastAsia="Courier New" w:hAnsi="Times New Roman" w:cs="Times New Roman"/>
                <w:sz w:val="24"/>
                <w:szCs w:val="24"/>
                <w:lang w:eastAsia="ru-RU"/>
              </w:rPr>
            </w:pPr>
            <w:r w:rsidRPr="00EC20F8">
              <w:rPr>
                <w:rFonts w:ascii="Times New Roman" w:eastAsia="Courier New" w:hAnsi="Times New Roman" w:cs="Times New Roman"/>
                <w:lang w:eastAsia="ru-RU"/>
              </w:rPr>
              <w:t>60,79</w:t>
            </w:r>
          </w:p>
        </w:tc>
        <w:tc>
          <w:tcPr>
            <w:tcW w:w="1416" w:type="dxa"/>
            <w:tcBorders>
              <w:top w:val="single" w:sz="4" w:space="0" w:color="auto"/>
              <w:left w:val="nil"/>
              <w:bottom w:val="single" w:sz="8" w:space="0" w:color="auto"/>
              <w:right w:val="single" w:sz="8" w:space="0" w:color="auto"/>
            </w:tcBorders>
            <w:vAlign w:val="center"/>
            <w:hideMark/>
          </w:tcPr>
          <w:p w:rsidR="00660F7A" w:rsidRPr="00EC20F8" w:rsidRDefault="00660F7A" w:rsidP="00660F7A">
            <w:pPr>
              <w:widowControl w:val="0"/>
              <w:spacing w:line="240" w:lineRule="auto"/>
              <w:jc w:val="center"/>
              <w:rPr>
                <w:rFonts w:ascii="Times New Roman" w:eastAsia="Courier New" w:hAnsi="Times New Roman" w:cs="Times New Roman"/>
                <w:sz w:val="24"/>
                <w:szCs w:val="24"/>
                <w:lang w:eastAsia="ru-RU"/>
              </w:rPr>
            </w:pPr>
            <w:r w:rsidRPr="00EC20F8">
              <w:rPr>
                <w:rFonts w:ascii="Times New Roman" w:eastAsia="Courier New" w:hAnsi="Times New Roman" w:cs="Times New Roman"/>
                <w:lang w:eastAsia="ru-RU"/>
              </w:rPr>
              <w:t>112,85</w:t>
            </w:r>
          </w:p>
        </w:tc>
        <w:tc>
          <w:tcPr>
            <w:tcW w:w="1416" w:type="dxa"/>
            <w:tcBorders>
              <w:top w:val="single" w:sz="4" w:space="0" w:color="auto"/>
              <w:left w:val="nil"/>
              <w:bottom w:val="single" w:sz="8" w:space="0" w:color="auto"/>
              <w:right w:val="single" w:sz="8" w:space="0" w:color="auto"/>
            </w:tcBorders>
            <w:vAlign w:val="center"/>
            <w:hideMark/>
          </w:tcPr>
          <w:p w:rsidR="00660F7A" w:rsidRPr="00EC20F8" w:rsidRDefault="00660F7A" w:rsidP="00660F7A">
            <w:pPr>
              <w:widowControl w:val="0"/>
              <w:spacing w:line="240" w:lineRule="auto"/>
              <w:jc w:val="center"/>
              <w:rPr>
                <w:rFonts w:ascii="Times New Roman" w:eastAsia="Courier New" w:hAnsi="Times New Roman" w:cs="Times New Roman"/>
                <w:sz w:val="24"/>
                <w:szCs w:val="24"/>
                <w:lang w:eastAsia="ru-RU"/>
              </w:rPr>
            </w:pPr>
            <w:r w:rsidRPr="00EC20F8">
              <w:rPr>
                <w:rFonts w:ascii="Times New Roman" w:eastAsia="Courier New" w:hAnsi="Times New Roman" w:cs="Times New Roman"/>
                <w:lang w:eastAsia="ru-RU"/>
              </w:rPr>
              <w:t>500,13</w:t>
            </w:r>
          </w:p>
        </w:tc>
        <w:tc>
          <w:tcPr>
            <w:tcW w:w="1416" w:type="dxa"/>
            <w:tcBorders>
              <w:top w:val="single" w:sz="4" w:space="0" w:color="auto"/>
              <w:left w:val="nil"/>
              <w:bottom w:val="single" w:sz="8" w:space="0" w:color="auto"/>
              <w:right w:val="single" w:sz="8" w:space="0" w:color="auto"/>
            </w:tcBorders>
            <w:vAlign w:val="center"/>
            <w:hideMark/>
          </w:tcPr>
          <w:p w:rsidR="00660F7A" w:rsidRPr="00EC20F8" w:rsidRDefault="00660F7A" w:rsidP="00660F7A">
            <w:pPr>
              <w:widowControl w:val="0"/>
              <w:spacing w:line="240" w:lineRule="auto"/>
              <w:jc w:val="center"/>
              <w:rPr>
                <w:rFonts w:ascii="Times New Roman" w:eastAsia="Courier New" w:hAnsi="Times New Roman" w:cs="Times New Roman"/>
                <w:sz w:val="24"/>
                <w:szCs w:val="24"/>
                <w:lang w:eastAsia="ru-RU"/>
              </w:rPr>
            </w:pPr>
            <w:r w:rsidRPr="00EC20F8">
              <w:rPr>
                <w:rFonts w:ascii="Times New Roman" w:eastAsia="Courier New" w:hAnsi="Times New Roman" w:cs="Times New Roman"/>
                <w:lang w:eastAsia="ru-RU"/>
              </w:rPr>
              <w:t>382,16</w:t>
            </w:r>
          </w:p>
        </w:tc>
        <w:tc>
          <w:tcPr>
            <w:tcW w:w="1416" w:type="dxa"/>
            <w:tcBorders>
              <w:top w:val="single" w:sz="4" w:space="0" w:color="auto"/>
              <w:left w:val="nil"/>
              <w:bottom w:val="single" w:sz="8" w:space="0" w:color="auto"/>
              <w:right w:val="single" w:sz="8" w:space="0" w:color="auto"/>
            </w:tcBorders>
            <w:vAlign w:val="center"/>
            <w:hideMark/>
          </w:tcPr>
          <w:p w:rsidR="00660F7A" w:rsidRPr="00EC20F8" w:rsidRDefault="00660F7A" w:rsidP="00660F7A">
            <w:pPr>
              <w:widowControl w:val="0"/>
              <w:spacing w:line="240" w:lineRule="auto"/>
              <w:ind w:firstLine="30"/>
              <w:jc w:val="center"/>
              <w:rPr>
                <w:rFonts w:ascii="Times New Roman" w:eastAsia="Courier New" w:hAnsi="Times New Roman" w:cs="Times New Roman"/>
                <w:sz w:val="24"/>
                <w:szCs w:val="24"/>
                <w:lang w:eastAsia="ru-RU"/>
              </w:rPr>
            </w:pPr>
            <w:r w:rsidRPr="00EC20F8">
              <w:rPr>
                <w:rFonts w:ascii="Times New Roman" w:eastAsia="Courier New" w:hAnsi="Times New Roman" w:cs="Times New Roman"/>
                <w:lang w:eastAsia="ru-RU"/>
              </w:rPr>
              <w:t>230,01</w:t>
            </w:r>
          </w:p>
        </w:tc>
      </w:tr>
      <w:tr w:rsidR="00660F7A" w:rsidRPr="00EC20F8" w:rsidTr="00660F7A">
        <w:trPr>
          <w:trHeight w:val="218"/>
          <w:jc w:val="center"/>
        </w:trPr>
        <w:tc>
          <w:tcPr>
            <w:tcW w:w="1716" w:type="dxa"/>
            <w:tcBorders>
              <w:top w:val="nil"/>
              <w:left w:val="single" w:sz="8" w:space="0" w:color="auto"/>
              <w:bottom w:val="single" w:sz="8" w:space="0" w:color="auto"/>
              <w:right w:val="single" w:sz="8" w:space="0" w:color="auto"/>
            </w:tcBorders>
            <w:vAlign w:val="center"/>
            <w:hideMark/>
          </w:tcPr>
          <w:p w:rsidR="00660F7A" w:rsidRPr="00EC20F8" w:rsidRDefault="00660F7A" w:rsidP="00660F7A">
            <w:pPr>
              <w:widowControl w:val="0"/>
              <w:spacing w:line="240" w:lineRule="auto"/>
              <w:jc w:val="both"/>
              <w:rPr>
                <w:rFonts w:ascii="Times New Roman" w:eastAsia="Courier New" w:hAnsi="Times New Roman" w:cs="Times New Roman"/>
                <w:sz w:val="24"/>
                <w:szCs w:val="24"/>
                <w:lang w:eastAsia="ru-RU"/>
              </w:rPr>
            </w:pPr>
            <w:r w:rsidRPr="00EC20F8">
              <w:rPr>
                <w:rFonts w:ascii="Times New Roman" w:eastAsia="Courier New" w:hAnsi="Times New Roman" w:cs="Times New Roman"/>
                <w:sz w:val="24"/>
                <w:szCs w:val="24"/>
                <w:lang w:eastAsia="ru-RU"/>
              </w:rPr>
              <w:t>в том числе:</w:t>
            </w:r>
          </w:p>
        </w:tc>
        <w:tc>
          <w:tcPr>
            <w:tcW w:w="1416" w:type="dxa"/>
            <w:tcBorders>
              <w:top w:val="nil"/>
              <w:left w:val="nil"/>
              <w:bottom w:val="single" w:sz="8" w:space="0" w:color="auto"/>
              <w:right w:val="single" w:sz="8" w:space="0" w:color="auto"/>
            </w:tcBorders>
            <w:vAlign w:val="center"/>
            <w:hideMark/>
          </w:tcPr>
          <w:p w:rsidR="00660F7A" w:rsidRPr="00EC20F8" w:rsidRDefault="00660F7A" w:rsidP="00660F7A">
            <w:pPr>
              <w:widowControl w:val="0"/>
              <w:spacing w:line="240" w:lineRule="auto"/>
              <w:ind w:firstLine="709"/>
              <w:jc w:val="center"/>
              <w:rPr>
                <w:rFonts w:ascii="Times New Roman" w:eastAsia="Courier New" w:hAnsi="Times New Roman" w:cs="Times New Roman"/>
                <w:sz w:val="24"/>
                <w:szCs w:val="24"/>
                <w:lang w:eastAsia="ru-RU"/>
              </w:rPr>
            </w:pPr>
            <w:r w:rsidRPr="00EC20F8">
              <w:rPr>
                <w:rFonts w:ascii="Times New Roman" w:eastAsia="Courier New" w:hAnsi="Times New Roman" w:cs="Times New Roman"/>
                <w:lang w:eastAsia="ru-RU"/>
              </w:rPr>
              <w:t> </w:t>
            </w:r>
          </w:p>
        </w:tc>
        <w:tc>
          <w:tcPr>
            <w:tcW w:w="1416" w:type="dxa"/>
            <w:tcBorders>
              <w:top w:val="nil"/>
              <w:left w:val="nil"/>
              <w:bottom w:val="single" w:sz="8" w:space="0" w:color="auto"/>
              <w:right w:val="single" w:sz="8" w:space="0" w:color="auto"/>
            </w:tcBorders>
            <w:vAlign w:val="center"/>
            <w:hideMark/>
          </w:tcPr>
          <w:p w:rsidR="00660F7A" w:rsidRPr="00EC20F8" w:rsidRDefault="00660F7A" w:rsidP="00660F7A">
            <w:pPr>
              <w:widowControl w:val="0"/>
              <w:spacing w:line="240" w:lineRule="auto"/>
              <w:ind w:firstLine="709"/>
              <w:jc w:val="center"/>
              <w:rPr>
                <w:rFonts w:ascii="Times New Roman" w:eastAsia="Courier New" w:hAnsi="Times New Roman" w:cs="Times New Roman"/>
                <w:sz w:val="24"/>
                <w:szCs w:val="24"/>
                <w:lang w:eastAsia="ru-RU"/>
              </w:rPr>
            </w:pPr>
            <w:r w:rsidRPr="00EC20F8">
              <w:rPr>
                <w:rFonts w:ascii="Times New Roman" w:eastAsia="Courier New" w:hAnsi="Times New Roman" w:cs="Times New Roman"/>
                <w:lang w:eastAsia="ru-RU"/>
              </w:rPr>
              <w:t> </w:t>
            </w:r>
          </w:p>
        </w:tc>
        <w:tc>
          <w:tcPr>
            <w:tcW w:w="1416" w:type="dxa"/>
            <w:tcBorders>
              <w:top w:val="nil"/>
              <w:left w:val="nil"/>
              <w:bottom w:val="single" w:sz="8" w:space="0" w:color="auto"/>
              <w:right w:val="single" w:sz="8" w:space="0" w:color="auto"/>
            </w:tcBorders>
            <w:vAlign w:val="center"/>
            <w:hideMark/>
          </w:tcPr>
          <w:p w:rsidR="00660F7A" w:rsidRPr="00EC20F8" w:rsidRDefault="00660F7A" w:rsidP="00660F7A">
            <w:pPr>
              <w:widowControl w:val="0"/>
              <w:spacing w:line="240" w:lineRule="auto"/>
              <w:ind w:firstLine="709"/>
              <w:jc w:val="center"/>
              <w:rPr>
                <w:rFonts w:ascii="Times New Roman" w:eastAsia="Courier New" w:hAnsi="Times New Roman" w:cs="Times New Roman"/>
                <w:sz w:val="24"/>
                <w:szCs w:val="24"/>
                <w:lang w:eastAsia="ru-RU"/>
              </w:rPr>
            </w:pPr>
            <w:r w:rsidRPr="00EC20F8">
              <w:rPr>
                <w:rFonts w:ascii="Times New Roman" w:eastAsia="Courier New" w:hAnsi="Times New Roman" w:cs="Times New Roman"/>
                <w:lang w:eastAsia="ru-RU"/>
              </w:rPr>
              <w:t> </w:t>
            </w:r>
          </w:p>
        </w:tc>
        <w:tc>
          <w:tcPr>
            <w:tcW w:w="1416" w:type="dxa"/>
            <w:tcBorders>
              <w:top w:val="nil"/>
              <w:left w:val="nil"/>
              <w:bottom w:val="single" w:sz="8" w:space="0" w:color="auto"/>
              <w:right w:val="single" w:sz="8" w:space="0" w:color="auto"/>
            </w:tcBorders>
            <w:vAlign w:val="center"/>
            <w:hideMark/>
          </w:tcPr>
          <w:p w:rsidR="00660F7A" w:rsidRPr="00EC20F8" w:rsidRDefault="00660F7A" w:rsidP="00660F7A">
            <w:pPr>
              <w:widowControl w:val="0"/>
              <w:spacing w:line="240" w:lineRule="auto"/>
              <w:ind w:firstLine="709"/>
              <w:jc w:val="center"/>
              <w:rPr>
                <w:rFonts w:ascii="Times New Roman" w:eastAsia="Courier New" w:hAnsi="Times New Roman" w:cs="Times New Roman"/>
                <w:sz w:val="24"/>
                <w:szCs w:val="24"/>
                <w:lang w:eastAsia="ru-RU"/>
              </w:rPr>
            </w:pPr>
            <w:r w:rsidRPr="00EC20F8">
              <w:rPr>
                <w:rFonts w:ascii="Times New Roman" w:eastAsia="Courier New" w:hAnsi="Times New Roman" w:cs="Times New Roman"/>
                <w:lang w:eastAsia="ru-RU"/>
              </w:rPr>
              <w:t> </w:t>
            </w:r>
          </w:p>
        </w:tc>
        <w:tc>
          <w:tcPr>
            <w:tcW w:w="1416" w:type="dxa"/>
            <w:tcBorders>
              <w:top w:val="nil"/>
              <w:left w:val="nil"/>
              <w:bottom w:val="single" w:sz="8" w:space="0" w:color="auto"/>
              <w:right w:val="single" w:sz="8" w:space="0" w:color="auto"/>
            </w:tcBorders>
            <w:vAlign w:val="center"/>
            <w:hideMark/>
          </w:tcPr>
          <w:p w:rsidR="00660F7A" w:rsidRPr="00EC20F8" w:rsidRDefault="00660F7A" w:rsidP="00660F7A">
            <w:pPr>
              <w:widowControl w:val="0"/>
              <w:spacing w:line="240" w:lineRule="auto"/>
              <w:ind w:firstLine="709"/>
              <w:jc w:val="center"/>
              <w:rPr>
                <w:rFonts w:ascii="Times New Roman" w:eastAsia="Courier New" w:hAnsi="Times New Roman" w:cs="Times New Roman"/>
                <w:sz w:val="24"/>
                <w:szCs w:val="24"/>
                <w:lang w:eastAsia="ru-RU"/>
              </w:rPr>
            </w:pPr>
            <w:r w:rsidRPr="00EC20F8">
              <w:rPr>
                <w:rFonts w:ascii="Times New Roman" w:eastAsia="Courier New" w:hAnsi="Times New Roman" w:cs="Times New Roman"/>
                <w:lang w:eastAsia="ru-RU"/>
              </w:rPr>
              <w:t> </w:t>
            </w:r>
          </w:p>
        </w:tc>
      </w:tr>
      <w:tr w:rsidR="00660F7A" w:rsidRPr="00EC20F8" w:rsidTr="00660F7A">
        <w:trPr>
          <w:trHeight w:val="236"/>
          <w:jc w:val="center"/>
        </w:trPr>
        <w:tc>
          <w:tcPr>
            <w:tcW w:w="1716" w:type="dxa"/>
            <w:tcBorders>
              <w:top w:val="nil"/>
              <w:left w:val="single" w:sz="8" w:space="0" w:color="auto"/>
              <w:bottom w:val="single" w:sz="8" w:space="0" w:color="auto"/>
              <w:right w:val="single" w:sz="8" w:space="0" w:color="auto"/>
            </w:tcBorders>
            <w:vAlign w:val="center"/>
            <w:hideMark/>
          </w:tcPr>
          <w:p w:rsidR="00660F7A" w:rsidRPr="00EC20F8" w:rsidRDefault="00660F7A" w:rsidP="00660F7A">
            <w:pPr>
              <w:widowControl w:val="0"/>
              <w:spacing w:line="240" w:lineRule="auto"/>
              <w:ind w:firstLine="39"/>
              <w:jc w:val="both"/>
              <w:rPr>
                <w:rFonts w:ascii="Times New Roman" w:eastAsia="Courier New" w:hAnsi="Times New Roman" w:cs="Times New Roman"/>
                <w:sz w:val="24"/>
                <w:szCs w:val="24"/>
                <w:lang w:eastAsia="ru-RU"/>
              </w:rPr>
            </w:pPr>
            <w:r w:rsidRPr="00EC20F8">
              <w:rPr>
                <w:rFonts w:ascii="Times New Roman" w:eastAsia="Courier New" w:hAnsi="Times New Roman" w:cs="Times New Roman"/>
                <w:sz w:val="24"/>
                <w:szCs w:val="24"/>
                <w:lang w:eastAsia="ru-RU"/>
              </w:rPr>
              <w:t xml:space="preserve">  </w:t>
            </w:r>
            <w:proofErr w:type="gramStart"/>
            <w:r w:rsidRPr="00EC20F8">
              <w:rPr>
                <w:rFonts w:ascii="Times New Roman" w:eastAsia="Courier New" w:hAnsi="Times New Roman" w:cs="Times New Roman"/>
                <w:sz w:val="24"/>
                <w:szCs w:val="24"/>
                <w:lang w:eastAsia="ru-RU"/>
              </w:rPr>
              <w:t>капитальный</w:t>
            </w:r>
            <w:proofErr w:type="gramEnd"/>
          </w:p>
        </w:tc>
        <w:tc>
          <w:tcPr>
            <w:tcW w:w="1416" w:type="dxa"/>
            <w:tcBorders>
              <w:top w:val="nil"/>
              <w:left w:val="nil"/>
              <w:bottom w:val="single" w:sz="8" w:space="0" w:color="auto"/>
              <w:right w:val="single" w:sz="8" w:space="0" w:color="auto"/>
            </w:tcBorders>
            <w:vAlign w:val="center"/>
            <w:hideMark/>
          </w:tcPr>
          <w:p w:rsidR="00660F7A" w:rsidRPr="00EC20F8" w:rsidRDefault="00660F7A" w:rsidP="00660F7A">
            <w:pPr>
              <w:widowControl w:val="0"/>
              <w:spacing w:line="240" w:lineRule="auto"/>
              <w:jc w:val="center"/>
              <w:rPr>
                <w:rFonts w:ascii="Times New Roman" w:eastAsia="Courier New" w:hAnsi="Times New Roman" w:cs="Times New Roman"/>
                <w:sz w:val="24"/>
                <w:szCs w:val="24"/>
                <w:lang w:eastAsia="ru-RU"/>
              </w:rPr>
            </w:pPr>
            <w:r w:rsidRPr="00EC20F8">
              <w:rPr>
                <w:rFonts w:ascii="Times New Roman" w:eastAsia="Courier New" w:hAnsi="Times New Roman" w:cs="Times New Roman"/>
                <w:lang w:eastAsia="ru-RU"/>
              </w:rPr>
              <w:t>36,07</w:t>
            </w:r>
          </w:p>
        </w:tc>
        <w:tc>
          <w:tcPr>
            <w:tcW w:w="1416" w:type="dxa"/>
            <w:tcBorders>
              <w:top w:val="nil"/>
              <w:left w:val="nil"/>
              <w:bottom w:val="single" w:sz="8" w:space="0" w:color="auto"/>
              <w:right w:val="single" w:sz="8" w:space="0" w:color="auto"/>
            </w:tcBorders>
            <w:vAlign w:val="center"/>
            <w:hideMark/>
          </w:tcPr>
          <w:p w:rsidR="00660F7A" w:rsidRPr="00EC20F8" w:rsidRDefault="00660F7A" w:rsidP="00660F7A">
            <w:pPr>
              <w:widowControl w:val="0"/>
              <w:spacing w:line="240" w:lineRule="auto"/>
              <w:ind w:firstLine="709"/>
              <w:jc w:val="center"/>
              <w:rPr>
                <w:rFonts w:ascii="Times New Roman" w:eastAsia="Courier New" w:hAnsi="Times New Roman" w:cs="Times New Roman"/>
                <w:sz w:val="24"/>
                <w:szCs w:val="24"/>
                <w:lang w:eastAsia="ru-RU"/>
              </w:rPr>
            </w:pPr>
          </w:p>
        </w:tc>
        <w:tc>
          <w:tcPr>
            <w:tcW w:w="1416" w:type="dxa"/>
            <w:tcBorders>
              <w:top w:val="nil"/>
              <w:left w:val="nil"/>
              <w:bottom w:val="single" w:sz="8" w:space="0" w:color="auto"/>
              <w:right w:val="single" w:sz="8" w:space="0" w:color="auto"/>
            </w:tcBorders>
            <w:vAlign w:val="center"/>
            <w:hideMark/>
          </w:tcPr>
          <w:p w:rsidR="00660F7A" w:rsidRPr="00EC20F8" w:rsidRDefault="00660F7A" w:rsidP="00660F7A">
            <w:pPr>
              <w:widowControl w:val="0"/>
              <w:spacing w:line="240" w:lineRule="auto"/>
              <w:ind w:firstLine="27"/>
              <w:jc w:val="center"/>
              <w:rPr>
                <w:rFonts w:ascii="Times New Roman" w:eastAsia="Courier New" w:hAnsi="Times New Roman" w:cs="Times New Roman"/>
                <w:sz w:val="24"/>
                <w:szCs w:val="24"/>
                <w:lang w:eastAsia="ru-RU"/>
              </w:rPr>
            </w:pPr>
            <w:r w:rsidRPr="00EC20F8">
              <w:rPr>
                <w:rFonts w:ascii="Times New Roman" w:eastAsia="Courier New" w:hAnsi="Times New Roman" w:cs="Times New Roman"/>
                <w:lang w:eastAsia="ru-RU"/>
              </w:rPr>
              <w:t>102,69 </w:t>
            </w:r>
          </w:p>
        </w:tc>
        <w:tc>
          <w:tcPr>
            <w:tcW w:w="1416" w:type="dxa"/>
            <w:tcBorders>
              <w:top w:val="nil"/>
              <w:left w:val="nil"/>
              <w:bottom w:val="single" w:sz="8" w:space="0" w:color="auto"/>
              <w:right w:val="single" w:sz="8" w:space="0" w:color="auto"/>
            </w:tcBorders>
            <w:vAlign w:val="center"/>
            <w:hideMark/>
          </w:tcPr>
          <w:p w:rsidR="00660F7A" w:rsidRPr="00EC20F8" w:rsidRDefault="00660F7A" w:rsidP="00660F7A">
            <w:pPr>
              <w:widowControl w:val="0"/>
              <w:spacing w:line="240" w:lineRule="auto"/>
              <w:ind w:firstLine="709"/>
              <w:jc w:val="center"/>
              <w:rPr>
                <w:rFonts w:ascii="Times New Roman" w:eastAsia="Courier New" w:hAnsi="Times New Roman" w:cs="Times New Roman"/>
                <w:sz w:val="24"/>
                <w:szCs w:val="24"/>
                <w:lang w:eastAsia="ru-RU"/>
              </w:rPr>
            </w:pPr>
          </w:p>
        </w:tc>
        <w:tc>
          <w:tcPr>
            <w:tcW w:w="1416" w:type="dxa"/>
            <w:tcBorders>
              <w:top w:val="nil"/>
              <w:left w:val="nil"/>
              <w:bottom w:val="single" w:sz="8" w:space="0" w:color="auto"/>
              <w:right w:val="single" w:sz="8" w:space="0" w:color="auto"/>
            </w:tcBorders>
            <w:vAlign w:val="center"/>
            <w:hideMark/>
          </w:tcPr>
          <w:p w:rsidR="00660F7A" w:rsidRPr="00EC20F8" w:rsidRDefault="00660F7A" w:rsidP="00660F7A">
            <w:pPr>
              <w:widowControl w:val="0"/>
              <w:spacing w:line="240" w:lineRule="auto"/>
              <w:ind w:firstLine="709"/>
              <w:jc w:val="center"/>
              <w:rPr>
                <w:rFonts w:ascii="Times New Roman" w:eastAsia="Courier New" w:hAnsi="Times New Roman" w:cs="Times New Roman"/>
                <w:sz w:val="24"/>
                <w:szCs w:val="24"/>
                <w:lang w:eastAsia="ru-RU"/>
              </w:rPr>
            </w:pPr>
            <w:r w:rsidRPr="00EC20F8">
              <w:rPr>
                <w:rFonts w:ascii="Times New Roman" w:eastAsia="Courier New" w:hAnsi="Times New Roman" w:cs="Times New Roman"/>
                <w:lang w:eastAsia="ru-RU"/>
              </w:rPr>
              <w:t> </w:t>
            </w:r>
          </w:p>
        </w:tc>
      </w:tr>
      <w:tr w:rsidR="00660F7A" w:rsidRPr="00EC20F8" w:rsidTr="00660F7A">
        <w:trPr>
          <w:trHeight w:val="239"/>
          <w:jc w:val="center"/>
        </w:trPr>
        <w:tc>
          <w:tcPr>
            <w:tcW w:w="1716" w:type="dxa"/>
            <w:tcBorders>
              <w:top w:val="nil"/>
              <w:left w:val="single" w:sz="8" w:space="0" w:color="auto"/>
              <w:bottom w:val="single" w:sz="8" w:space="0" w:color="auto"/>
              <w:right w:val="single" w:sz="8" w:space="0" w:color="auto"/>
            </w:tcBorders>
            <w:vAlign w:val="center"/>
            <w:hideMark/>
          </w:tcPr>
          <w:p w:rsidR="00660F7A" w:rsidRPr="00EC20F8" w:rsidRDefault="00660F7A" w:rsidP="00660F7A">
            <w:pPr>
              <w:widowControl w:val="0"/>
              <w:spacing w:line="240" w:lineRule="auto"/>
              <w:ind w:firstLine="39"/>
              <w:jc w:val="both"/>
              <w:rPr>
                <w:rFonts w:ascii="Times New Roman" w:eastAsia="Courier New" w:hAnsi="Times New Roman" w:cs="Times New Roman"/>
                <w:sz w:val="24"/>
                <w:szCs w:val="24"/>
                <w:lang w:eastAsia="ru-RU"/>
              </w:rPr>
            </w:pPr>
            <w:r w:rsidRPr="00EC20F8">
              <w:rPr>
                <w:rFonts w:ascii="Times New Roman" w:eastAsia="Courier New" w:hAnsi="Times New Roman" w:cs="Times New Roman"/>
                <w:sz w:val="24"/>
                <w:szCs w:val="24"/>
                <w:lang w:eastAsia="ru-RU"/>
              </w:rPr>
              <w:t xml:space="preserve">  </w:t>
            </w:r>
            <w:proofErr w:type="gramStart"/>
            <w:r w:rsidRPr="00EC20F8">
              <w:rPr>
                <w:rFonts w:ascii="Times New Roman" w:eastAsia="Courier New" w:hAnsi="Times New Roman" w:cs="Times New Roman"/>
                <w:sz w:val="24"/>
                <w:szCs w:val="24"/>
                <w:lang w:eastAsia="ru-RU"/>
              </w:rPr>
              <w:t>текущий</w:t>
            </w:r>
            <w:proofErr w:type="gramEnd"/>
          </w:p>
        </w:tc>
        <w:tc>
          <w:tcPr>
            <w:tcW w:w="1416" w:type="dxa"/>
            <w:tcBorders>
              <w:top w:val="nil"/>
              <w:left w:val="nil"/>
              <w:bottom w:val="single" w:sz="8" w:space="0" w:color="auto"/>
              <w:right w:val="single" w:sz="8" w:space="0" w:color="auto"/>
            </w:tcBorders>
            <w:vAlign w:val="center"/>
            <w:hideMark/>
          </w:tcPr>
          <w:p w:rsidR="00660F7A" w:rsidRPr="00EC20F8" w:rsidRDefault="00660F7A" w:rsidP="00660F7A">
            <w:pPr>
              <w:widowControl w:val="0"/>
              <w:spacing w:line="240" w:lineRule="auto"/>
              <w:ind w:firstLine="24"/>
              <w:jc w:val="center"/>
              <w:rPr>
                <w:rFonts w:ascii="Times New Roman" w:eastAsia="Courier New" w:hAnsi="Times New Roman" w:cs="Times New Roman"/>
                <w:sz w:val="24"/>
                <w:szCs w:val="24"/>
                <w:lang w:eastAsia="ru-RU"/>
              </w:rPr>
            </w:pPr>
            <w:r w:rsidRPr="00EC20F8">
              <w:rPr>
                <w:rFonts w:ascii="Times New Roman" w:eastAsia="Courier New" w:hAnsi="Times New Roman" w:cs="Times New Roman"/>
                <w:lang w:eastAsia="ru-RU"/>
              </w:rPr>
              <w:t>24,72</w:t>
            </w:r>
          </w:p>
        </w:tc>
        <w:tc>
          <w:tcPr>
            <w:tcW w:w="1416" w:type="dxa"/>
            <w:tcBorders>
              <w:top w:val="nil"/>
              <w:left w:val="nil"/>
              <w:bottom w:val="single" w:sz="8" w:space="0" w:color="auto"/>
              <w:right w:val="single" w:sz="8" w:space="0" w:color="auto"/>
            </w:tcBorders>
            <w:vAlign w:val="center"/>
            <w:hideMark/>
          </w:tcPr>
          <w:p w:rsidR="00660F7A" w:rsidRPr="00EC20F8" w:rsidRDefault="00660F7A" w:rsidP="00660F7A">
            <w:pPr>
              <w:widowControl w:val="0"/>
              <w:spacing w:line="240" w:lineRule="auto"/>
              <w:ind w:firstLine="25"/>
              <w:jc w:val="center"/>
              <w:rPr>
                <w:rFonts w:ascii="Times New Roman" w:eastAsia="Courier New" w:hAnsi="Times New Roman" w:cs="Times New Roman"/>
                <w:sz w:val="24"/>
                <w:szCs w:val="24"/>
                <w:lang w:eastAsia="ru-RU"/>
              </w:rPr>
            </w:pPr>
            <w:r w:rsidRPr="00EC20F8">
              <w:rPr>
                <w:rFonts w:ascii="Times New Roman" w:eastAsia="Courier New" w:hAnsi="Times New Roman" w:cs="Times New Roman"/>
                <w:lang w:eastAsia="ru-RU"/>
              </w:rPr>
              <w:t>112,85</w:t>
            </w:r>
          </w:p>
        </w:tc>
        <w:tc>
          <w:tcPr>
            <w:tcW w:w="1416" w:type="dxa"/>
            <w:tcBorders>
              <w:top w:val="nil"/>
              <w:left w:val="nil"/>
              <w:bottom w:val="single" w:sz="8" w:space="0" w:color="auto"/>
              <w:right w:val="single" w:sz="8" w:space="0" w:color="auto"/>
            </w:tcBorders>
            <w:vAlign w:val="center"/>
            <w:hideMark/>
          </w:tcPr>
          <w:p w:rsidR="00660F7A" w:rsidRPr="00EC20F8" w:rsidRDefault="00660F7A" w:rsidP="00660F7A">
            <w:pPr>
              <w:widowControl w:val="0"/>
              <w:spacing w:line="240" w:lineRule="auto"/>
              <w:ind w:firstLine="27"/>
              <w:jc w:val="center"/>
              <w:rPr>
                <w:rFonts w:ascii="Times New Roman" w:eastAsia="Courier New" w:hAnsi="Times New Roman" w:cs="Times New Roman"/>
                <w:sz w:val="24"/>
                <w:szCs w:val="24"/>
                <w:lang w:eastAsia="ru-RU"/>
              </w:rPr>
            </w:pPr>
            <w:r w:rsidRPr="00EC20F8">
              <w:rPr>
                <w:rFonts w:ascii="Times New Roman" w:eastAsia="Courier New" w:hAnsi="Times New Roman" w:cs="Times New Roman"/>
                <w:lang w:eastAsia="ru-RU"/>
              </w:rPr>
              <w:t>397,44</w:t>
            </w:r>
          </w:p>
        </w:tc>
        <w:tc>
          <w:tcPr>
            <w:tcW w:w="1416" w:type="dxa"/>
            <w:tcBorders>
              <w:top w:val="nil"/>
              <w:left w:val="nil"/>
              <w:bottom w:val="single" w:sz="8" w:space="0" w:color="auto"/>
              <w:right w:val="single" w:sz="8" w:space="0" w:color="auto"/>
            </w:tcBorders>
            <w:vAlign w:val="center"/>
            <w:hideMark/>
          </w:tcPr>
          <w:p w:rsidR="00660F7A" w:rsidRPr="00EC20F8" w:rsidRDefault="00660F7A" w:rsidP="00660F7A">
            <w:pPr>
              <w:widowControl w:val="0"/>
              <w:spacing w:line="240" w:lineRule="auto"/>
              <w:jc w:val="center"/>
              <w:rPr>
                <w:rFonts w:ascii="Times New Roman" w:eastAsia="Courier New" w:hAnsi="Times New Roman" w:cs="Times New Roman"/>
                <w:sz w:val="24"/>
                <w:szCs w:val="24"/>
                <w:lang w:eastAsia="ru-RU"/>
              </w:rPr>
            </w:pPr>
            <w:r w:rsidRPr="00EC20F8">
              <w:rPr>
                <w:rFonts w:ascii="Times New Roman" w:eastAsia="Courier New" w:hAnsi="Times New Roman" w:cs="Times New Roman"/>
                <w:lang w:eastAsia="ru-RU"/>
              </w:rPr>
              <w:t>382,16</w:t>
            </w:r>
          </w:p>
        </w:tc>
        <w:tc>
          <w:tcPr>
            <w:tcW w:w="1416" w:type="dxa"/>
            <w:tcBorders>
              <w:top w:val="nil"/>
              <w:left w:val="nil"/>
              <w:bottom w:val="single" w:sz="8" w:space="0" w:color="auto"/>
              <w:right w:val="single" w:sz="8" w:space="0" w:color="auto"/>
            </w:tcBorders>
            <w:vAlign w:val="center"/>
            <w:hideMark/>
          </w:tcPr>
          <w:p w:rsidR="00660F7A" w:rsidRPr="00EC20F8" w:rsidRDefault="00660F7A" w:rsidP="00660F7A">
            <w:pPr>
              <w:widowControl w:val="0"/>
              <w:spacing w:line="240" w:lineRule="auto"/>
              <w:ind w:firstLine="30"/>
              <w:jc w:val="center"/>
              <w:rPr>
                <w:rFonts w:ascii="Times New Roman" w:eastAsia="Courier New" w:hAnsi="Times New Roman" w:cs="Times New Roman"/>
                <w:sz w:val="24"/>
                <w:szCs w:val="24"/>
                <w:lang w:eastAsia="ru-RU"/>
              </w:rPr>
            </w:pPr>
            <w:r w:rsidRPr="00EC20F8">
              <w:rPr>
                <w:rFonts w:ascii="Times New Roman" w:eastAsia="Courier New" w:hAnsi="Times New Roman" w:cs="Times New Roman"/>
                <w:lang w:eastAsia="ru-RU"/>
              </w:rPr>
              <w:t>230,01</w:t>
            </w:r>
          </w:p>
        </w:tc>
      </w:tr>
    </w:tbl>
    <w:p w:rsidR="00660F7A" w:rsidRPr="00EC20F8" w:rsidRDefault="00660F7A" w:rsidP="00660F7A">
      <w:pPr>
        <w:widowControl w:val="0"/>
        <w:autoSpaceDE w:val="0"/>
        <w:autoSpaceDN w:val="0"/>
        <w:adjustRightInd w:val="0"/>
        <w:spacing w:line="240" w:lineRule="auto"/>
        <w:ind w:firstLine="709"/>
        <w:jc w:val="both"/>
        <w:rPr>
          <w:rFonts w:ascii="Times New Roman" w:eastAsia="Courier New" w:hAnsi="Times New Roman" w:cs="Courier New"/>
          <w:sz w:val="28"/>
          <w:szCs w:val="28"/>
          <w:lang w:eastAsia="ru-RU"/>
        </w:rPr>
      </w:pPr>
    </w:p>
    <w:p w:rsidR="00660F7A" w:rsidRPr="00EC20F8" w:rsidRDefault="00660F7A" w:rsidP="00660F7A">
      <w:pPr>
        <w:widowControl w:val="0"/>
        <w:autoSpaceDE w:val="0"/>
        <w:autoSpaceDN w:val="0"/>
        <w:adjustRightInd w:val="0"/>
        <w:spacing w:line="240" w:lineRule="auto"/>
        <w:ind w:firstLine="709"/>
        <w:jc w:val="both"/>
        <w:rPr>
          <w:rFonts w:ascii="Times New Roman" w:eastAsia="Courier New" w:hAnsi="Times New Roman" w:cs="Courier New"/>
          <w:sz w:val="28"/>
          <w:szCs w:val="28"/>
          <w:lang w:eastAsia="ru-RU"/>
        </w:rPr>
      </w:pPr>
      <w:r w:rsidRPr="00EC20F8">
        <w:rPr>
          <w:rFonts w:ascii="Times New Roman" w:eastAsia="Courier New" w:hAnsi="Times New Roman" w:cs="Courier New"/>
          <w:sz w:val="28"/>
          <w:szCs w:val="28"/>
          <w:lang w:eastAsia="ru-RU"/>
        </w:rPr>
        <w:t>Сложившиеся в транспортной сфере проблемы решаются не только за счет ремонта и модернизации существующей дорожно-транспортной сети, но и за счет строительства новых дорог.</w:t>
      </w:r>
    </w:p>
    <w:p w:rsidR="00660F7A" w:rsidRPr="00EC20F8" w:rsidRDefault="00660F7A" w:rsidP="00660F7A">
      <w:pPr>
        <w:widowControl w:val="0"/>
        <w:spacing w:line="240" w:lineRule="auto"/>
        <w:ind w:firstLine="709"/>
        <w:jc w:val="both"/>
        <w:rPr>
          <w:rFonts w:ascii="Courier New" w:eastAsia="Courier New" w:hAnsi="Courier New" w:cs="Courier New"/>
          <w:b/>
          <w:sz w:val="28"/>
          <w:szCs w:val="28"/>
          <w:lang w:eastAsia="ru-RU"/>
        </w:rPr>
      </w:pPr>
      <w:r w:rsidRPr="00EC20F8">
        <w:rPr>
          <w:rFonts w:ascii="Times New Roman" w:eastAsia="Courier New" w:hAnsi="Times New Roman" w:cs="Times New Roman"/>
          <w:sz w:val="28"/>
          <w:szCs w:val="28"/>
          <w:lang w:eastAsia="ru-RU"/>
        </w:rPr>
        <w:t>В 2013 году завершено строительство автомобильной дороги местного значения в районе Восточное шоссе - кольцевой проезд существующего кладбища.</w:t>
      </w:r>
      <w:r w:rsidRPr="00EC20F8">
        <w:rPr>
          <w:rFonts w:ascii="Courier New" w:eastAsia="Courier New" w:hAnsi="Courier New" w:cs="Courier New"/>
          <w:sz w:val="28"/>
          <w:szCs w:val="28"/>
          <w:lang w:eastAsia="ru-RU"/>
        </w:rPr>
        <w:t xml:space="preserve"> </w:t>
      </w:r>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Заключены муниципальные контракты</w:t>
      </w:r>
      <w:r w:rsidRPr="00EC20F8">
        <w:rPr>
          <w:rFonts w:ascii="Times New Roman" w:eastAsia="Courier New" w:hAnsi="Times New Roman" w:cs="Times New Roman"/>
          <w:i/>
          <w:sz w:val="28"/>
          <w:szCs w:val="28"/>
          <w:lang w:eastAsia="ru-RU"/>
        </w:rPr>
        <w:t xml:space="preserve">   </w:t>
      </w:r>
      <w:r w:rsidRPr="00EC20F8">
        <w:rPr>
          <w:rFonts w:ascii="Times New Roman" w:eastAsia="Courier New" w:hAnsi="Times New Roman" w:cs="Times New Roman"/>
          <w:sz w:val="28"/>
          <w:szCs w:val="28"/>
          <w:lang w:eastAsia="ru-RU"/>
        </w:rPr>
        <w:t>на строительство магистрали общегородского значения от II кольца до улицы Кавказской, включая улицу Ломоносова и на реконструкцию и</w:t>
      </w:r>
      <w:r w:rsidRPr="00EC20F8">
        <w:rPr>
          <w:rFonts w:ascii="Times New Roman" w:eastAsia="Courier New" w:hAnsi="Times New Roman" w:cs="Times New Roman"/>
          <w:b/>
          <w:sz w:val="28"/>
          <w:szCs w:val="28"/>
          <w:lang w:eastAsia="ru-RU"/>
        </w:rPr>
        <w:t xml:space="preserve"> </w:t>
      </w:r>
      <w:r w:rsidRPr="00EC20F8">
        <w:rPr>
          <w:rFonts w:ascii="Times New Roman" w:eastAsia="Courier New" w:hAnsi="Times New Roman" w:cs="Times New Roman"/>
          <w:sz w:val="28"/>
          <w:szCs w:val="28"/>
          <w:lang w:eastAsia="ru-RU"/>
        </w:rPr>
        <w:t xml:space="preserve">капитальный ремонт магистральной улицы общегородского значения – ул. </w:t>
      </w:r>
      <w:proofErr w:type="spellStart"/>
      <w:r w:rsidRPr="00EC20F8">
        <w:rPr>
          <w:rFonts w:ascii="Times New Roman" w:eastAsia="Courier New" w:hAnsi="Times New Roman" w:cs="Times New Roman"/>
          <w:sz w:val="28"/>
          <w:szCs w:val="28"/>
          <w:lang w:eastAsia="ru-RU"/>
        </w:rPr>
        <w:t>Вулканная</w:t>
      </w:r>
      <w:proofErr w:type="spellEnd"/>
      <w:r w:rsidRPr="00EC20F8">
        <w:rPr>
          <w:rFonts w:ascii="Times New Roman" w:eastAsia="Courier New" w:hAnsi="Times New Roman" w:cs="Times New Roman"/>
          <w:sz w:val="28"/>
          <w:szCs w:val="28"/>
          <w:lang w:eastAsia="ru-RU"/>
        </w:rPr>
        <w:t xml:space="preserve"> – ул. Чубарова (от поста ГИБДД до пересечения с проспектом Победы), строительство которых началось в 2014 году. </w:t>
      </w:r>
    </w:p>
    <w:p w:rsidR="00660F7A" w:rsidRPr="00EC20F8" w:rsidRDefault="00660F7A" w:rsidP="00660F7A">
      <w:pPr>
        <w:tabs>
          <w:tab w:val="left" w:pos="720"/>
        </w:tabs>
        <w:spacing w:line="240" w:lineRule="auto"/>
        <w:ind w:firstLine="709"/>
        <w:jc w:val="both"/>
        <w:rPr>
          <w:rFonts w:ascii="Times New Roman" w:eastAsia="Times New Roman" w:hAnsi="Times New Roman" w:cs="Times New Roman"/>
          <w:sz w:val="28"/>
          <w:szCs w:val="28"/>
          <w:lang w:eastAsia="ru-RU"/>
        </w:rPr>
      </w:pPr>
      <w:proofErr w:type="gramStart"/>
      <w:r w:rsidRPr="00EC20F8">
        <w:rPr>
          <w:rFonts w:ascii="Times New Roman" w:eastAsia="Times New Roman" w:hAnsi="Times New Roman" w:cs="Times New Roman"/>
          <w:sz w:val="28"/>
          <w:szCs w:val="28"/>
          <w:lang w:eastAsia="ru-RU"/>
        </w:rPr>
        <w:t>Для строительства и реконструкции улично-дорожной сети городского округа п</w:t>
      </w:r>
      <w:r w:rsidRPr="00EC20F8">
        <w:rPr>
          <w:rFonts w:ascii="Times New Roman" w:eastAsia="Times New Roman" w:hAnsi="Times New Roman" w:cs="Times New Roman"/>
          <w:bCs/>
          <w:sz w:val="28"/>
          <w:szCs w:val="28"/>
          <w:lang w:eastAsia="ru-RU"/>
        </w:rPr>
        <w:t xml:space="preserve">о состоянию на конец 2013 года подготовлена проектная документация строительства и реконструкции следующих объектов: </w:t>
      </w:r>
      <w:r w:rsidRPr="00EC20F8">
        <w:rPr>
          <w:rFonts w:ascii="Times New Roman" w:eastAsia="Times New Roman" w:hAnsi="Times New Roman" w:cs="Times New Roman"/>
          <w:sz w:val="28"/>
          <w:szCs w:val="28"/>
          <w:lang w:eastAsia="ru-RU"/>
        </w:rPr>
        <w:t xml:space="preserve">магистрали общегородского значения от поста ГАИ до улицы Академика Королева с развязкой в микрорайоне </w:t>
      </w:r>
      <w:proofErr w:type="spellStart"/>
      <w:r w:rsidRPr="00EC20F8">
        <w:rPr>
          <w:rFonts w:ascii="Times New Roman" w:eastAsia="Times New Roman" w:hAnsi="Times New Roman" w:cs="Times New Roman"/>
          <w:sz w:val="28"/>
          <w:szCs w:val="28"/>
          <w:lang w:eastAsia="ru-RU"/>
        </w:rPr>
        <w:t>Северо-Восток</w:t>
      </w:r>
      <w:proofErr w:type="spellEnd"/>
      <w:r w:rsidRPr="00EC20F8">
        <w:rPr>
          <w:rFonts w:ascii="Times New Roman" w:eastAsia="Times New Roman" w:hAnsi="Times New Roman" w:cs="Times New Roman"/>
          <w:sz w:val="28"/>
          <w:szCs w:val="28"/>
          <w:lang w:eastAsia="ru-RU"/>
        </w:rPr>
        <w:t xml:space="preserve"> (участок дороги от ул. Ларина до ул. Академика Королева), автомобильной дороги общегородского значения по проспекту </w:t>
      </w:r>
      <w:proofErr w:type="spellStart"/>
      <w:r w:rsidRPr="00EC20F8">
        <w:rPr>
          <w:rFonts w:ascii="Times New Roman" w:eastAsia="Times New Roman" w:hAnsi="Times New Roman" w:cs="Times New Roman"/>
          <w:sz w:val="28"/>
          <w:szCs w:val="28"/>
          <w:lang w:eastAsia="ru-RU"/>
        </w:rPr>
        <w:t>Таранца</w:t>
      </w:r>
      <w:proofErr w:type="spellEnd"/>
      <w:r w:rsidRPr="00EC20F8">
        <w:rPr>
          <w:rFonts w:ascii="Times New Roman" w:eastAsia="Times New Roman" w:hAnsi="Times New Roman" w:cs="Times New Roman"/>
          <w:sz w:val="28"/>
          <w:szCs w:val="28"/>
          <w:lang w:eastAsia="ru-RU"/>
        </w:rPr>
        <w:t xml:space="preserve"> с устройством транспортной развязки и с водопропускными</w:t>
      </w:r>
      <w:proofErr w:type="gramEnd"/>
      <w:r w:rsidRPr="00EC20F8">
        <w:rPr>
          <w:rFonts w:ascii="Times New Roman" w:eastAsia="Times New Roman" w:hAnsi="Times New Roman" w:cs="Times New Roman"/>
          <w:sz w:val="28"/>
          <w:szCs w:val="28"/>
          <w:lang w:eastAsia="ru-RU"/>
        </w:rPr>
        <w:t xml:space="preserve"> </w:t>
      </w:r>
      <w:proofErr w:type="gramStart"/>
      <w:r w:rsidRPr="00EC20F8">
        <w:rPr>
          <w:rFonts w:ascii="Times New Roman" w:eastAsia="Times New Roman" w:hAnsi="Times New Roman" w:cs="Times New Roman"/>
          <w:sz w:val="28"/>
          <w:szCs w:val="28"/>
          <w:lang w:eastAsia="ru-RU"/>
        </w:rPr>
        <w:t>сооружениями (от перекрестка с улицей Ларина до пересечения с магистральной улицей в районе перспективной застройки), автомобильной дороги общегородского значения по улице Дальневосточной», автомобильной дороги по улице Ларина с устройством транспортной развязки и водопропускными сооружениями (от остановки «Кольцо по улице Ларина» до пересечения с магистральной улицей в районе перспективной застройки), автомобильной дороги общегородского значения по улице Топоркова с прилегающими внутриквартальными проездами.</w:t>
      </w:r>
      <w:proofErr w:type="gramEnd"/>
    </w:p>
    <w:p w:rsidR="00660F7A" w:rsidRPr="00EC20F8" w:rsidRDefault="00660F7A" w:rsidP="00660F7A">
      <w:pPr>
        <w:tabs>
          <w:tab w:val="left" w:pos="720"/>
        </w:tabs>
        <w:spacing w:line="240" w:lineRule="auto"/>
        <w:ind w:firstLine="709"/>
        <w:jc w:val="both"/>
        <w:rPr>
          <w:rFonts w:ascii="Times New Roman" w:eastAsia="Times New Roman" w:hAnsi="Times New Roman" w:cs="Times New Roman"/>
          <w:sz w:val="28"/>
          <w:szCs w:val="28"/>
          <w:lang w:eastAsia="ru-RU"/>
        </w:rPr>
      </w:pPr>
      <w:r w:rsidRPr="00EC20F8">
        <w:rPr>
          <w:rFonts w:ascii="Times New Roman" w:eastAsia="Times New Roman" w:hAnsi="Times New Roman" w:cs="Times New Roman"/>
          <w:bCs/>
          <w:sz w:val="28"/>
          <w:szCs w:val="28"/>
          <w:lang w:eastAsia="ru-RU"/>
        </w:rPr>
        <w:t>Строительство</w:t>
      </w:r>
      <w:r w:rsidRPr="00EC20F8">
        <w:rPr>
          <w:rFonts w:ascii="Times New Roman" w:eastAsia="Times New Roman" w:hAnsi="Times New Roman" w:cs="Times New Roman"/>
          <w:bCs/>
          <w:sz w:val="24"/>
          <w:szCs w:val="24"/>
          <w:lang w:eastAsia="ru-RU"/>
        </w:rPr>
        <w:t xml:space="preserve"> </w:t>
      </w:r>
      <w:r w:rsidRPr="00EC20F8">
        <w:rPr>
          <w:rFonts w:ascii="Times New Roman" w:eastAsia="Times New Roman" w:hAnsi="Times New Roman" w:cs="Times New Roman"/>
          <w:bCs/>
          <w:sz w:val="28"/>
          <w:szCs w:val="28"/>
          <w:lang w:eastAsia="ru-RU"/>
        </w:rPr>
        <w:t xml:space="preserve">данных объектов </w:t>
      </w:r>
      <w:r w:rsidRPr="00EC20F8">
        <w:rPr>
          <w:rFonts w:ascii="Times New Roman" w:eastAsia="Times New Roman" w:hAnsi="Times New Roman" w:cs="Times New Roman"/>
          <w:sz w:val="28"/>
          <w:szCs w:val="28"/>
          <w:lang w:eastAsia="ru-RU"/>
        </w:rPr>
        <w:t>существенно перераспределит направление грузопотоков и</w:t>
      </w:r>
      <w:r w:rsidR="00275612" w:rsidRPr="00EC20F8">
        <w:rPr>
          <w:rFonts w:ascii="Times New Roman" w:eastAsia="Times New Roman" w:hAnsi="Times New Roman" w:cs="Times New Roman"/>
          <w:sz w:val="28"/>
          <w:szCs w:val="28"/>
          <w:lang w:eastAsia="ru-RU"/>
        </w:rPr>
        <w:t xml:space="preserve"> обезопасит дорожное движение, </w:t>
      </w:r>
      <w:r w:rsidRPr="00EC20F8">
        <w:rPr>
          <w:rFonts w:ascii="Times New Roman" w:eastAsia="Times New Roman" w:hAnsi="Times New Roman" w:cs="Times New Roman"/>
          <w:sz w:val="28"/>
          <w:szCs w:val="28"/>
          <w:lang w:eastAsia="ru-RU"/>
        </w:rPr>
        <w:t>улучшит в ряде районов городского округа экологическую ситуацию.</w:t>
      </w:r>
    </w:p>
    <w:p w:rsidR="00660F7A" w:rsidRPr="00EC20F8" w:rsidRDefault="00660F7A" w:rsidP="00660F7A">
      <w:pPr>
        <w:widowControl w:val="0"/>
        <w:spacing w:line="240" w:lineRule="auto"/>
        <w:ind w:firstLine="709"/>
        <w:jc w:val="both"/>
        <w:rPr>
          <w:rFonts w:ascii="Times New Roman" w:eastAsia="Times New Roman" w:hAnsi="Times New Roman" w:cs="Times New Roman"/>
          <w:sz w:val="28"/>
          <w:szCs w:val="28"/>
          <w:lang w:eastAsia="ru-RU"/>
        </w:rPr>
      </w:pPr>
      <w:proofErr w:type="gramStart"/>
      <w:r w:rsidRPr="00EC20F8">
        <w:rPr>
          <w:rFonts w:ascii="Times New Roman" w:eastAsia="Courier New" w:hAnsi="Times New Roman" w:cs="Times New Roman"/>
          <w:sz w:val="28"/>
          <w:szCs w:val="28"/>
          <w:lang w:eastAsia="ru-RU"/>
        </w:rPr>
        <w:t>В 2013 году начато разработка ПСД строительства автомобильной дороги общегородского значения по улице Ларина – Циолковского, объездной дороги от Петропавловского шоссе до жилого района «</w:t>
      </w:r>
      <w:proofErr w:type="spellStart"/>
      <w:r w:rsidRPr="00EC20F8">
        <w:rPr>
          <w:rFonts w:ascii="Times New Roman" w:eastAsia="Courier New" w:hAnsi="Times New Roman" w:cs="Times New Roman"/>
          <w:sz w:val="28"/>
          <w:szCs w:val="28"/>
          <w:lang w:eastAsia="ru-RU"/>
        </w:rPr>
        <w:t>Северо-Восток</w:t>
      </w:r>
      <w:proofErr w:type="spellEnd"/>
      <w:r w:rsidRPr="00EC20F8">
        <w:rPr>
          <w:rFonts w:ascii="Times New Roman" w:eastAsia="Courier New" w:hAnsi="Times New Roman" w:cs="Times New Roman"/>
          <w:sz w:val="28"/>
          <w:szCs w:val="28"/>
          <w:lang w:eastAsia="ru-RU"/>
        </w:rPr>
        <w:t xml:space="preserve">» (1 участок от Петропавловского шоссе до ул. Солнечная) и </w:t>
      </w:r>
      <w:r w:rsidRPr="00EC20F8">
        <w:rPr>
          <w:rFonts w:ascii="Times New Roman" w:eastAsia="Times New Roman" w:hAnsi="Times New Roman" w:cs="Times New Roman"/>
          <w:sz w:val="28"/>
          <w:szCs w:val="28"/>
          <w:lang w:eastAsia="ru-RU"/>
        </w:rPr>
        <w:t>корректировка проектной документации по переносу инженерных сетей на объекте «Магистраль общегородского значения в районе 10 км - Сероглазка - 8км».</w:t>
      </w:r>
      <w:proofErr w:type="gramEnd"/>
    </w:p>
    <w:p w:rsidR="00660F7A" w:rsidRPr="00EC20F8" w:rsidRDefault="00660F7A" w:rsidP="00660F7A">
      <w:pPr>
        <w:widowControl w:val="0"/>
        <w:spacing w:line="240" w:lineRule="auto"/>
        <w:ind w:firstLine="709"/>
        <w:contextualSpacing/>
        <w:jc w:val="both"/>
        <w:rPr>
          <w:rFonts w:ascii="Times New Roman" w:eastAsia="Times New Roman" w:hAnsi="Times New Roman" w:cs="Times New Roman"/>
          <w:sz w:val="28"/>
          <w:szCs w:val="28"/>
          <w:lang w:eastAsia="ru-RU"/>
        </w:rPr>
      </w:pPr>
      <w:proofErr w:type="gramStart"/>
      <w:r w:rsidRPr="00EC20F8">
        <w:rPr>
          <w:rFonts w:ascii="Times New Roman" w:eastAsia="Courier New" w:hAnsi="Times New Roman" w:cs="Times New Roman"/>
          <w:b/>
          <w:i/>
          <w:sz w:val="28"/>
          <w:szCs w:val="28"/>
          <w:lang w:eastAsia="ru-RU"/>
        </w:rPr>
        <w:t xml:space="preserve">В 2014 году, </w:t>
      </w:r>
      <w:r w:rsidRPr="00EC20F8">
        <w:rPr>
          <w:rFonts w:ascii="Times New Roman" w:eastAsia="Courier New" w:hAnsi="Times New Roman" w:cs="Times New Roman"/>
          <w:sz w:val="28"/>
          <w:szCs w:val="28"/>
          <w:lang w:eastAsia="ru-RU"/>
        </w:rPr>
        <w:t xml:space="preserve">в целях частичного решения дорожно-транспортных проблем, увеличения пропускной способности автомобильных дорог планируется выполнить </w:t>
      </w:r>
      <w:r w:rsidRPr="00EC20F8">
        <w:rPr>
          <w:rFonts w:ascii="Times New Roman" w:eastAsia="Times New Roman" w:hAnsi="Times New Roman" w:cs="Times New Roman"/>
          <w:sz w:val="28"/>
          <w:szCs w:val="28"/>
          <w:lang w:eastAsia="ru-RU"/>
        </w:rPr>
        <w:t xml:space="preserve">капитальный ремонт и ремонт автомобильных дорог общего пользования (в том числе элементов улично-дорожной сети, включая тротуары и парковки), дворовых территорий многоквартирных домов и проездов к ним </w:t>
      </w:r>
      <w:r w:rsidRPr="00EC20F8">
        <w:rPr>
          <w:rFonts w:ascii="Times New Roman" w:eastAsia="Courier New" w:hAnsi="Times New Roman" w:cs="Times New Roman"/>
          <w:sz w:val="28"/>
          <w:szCs w:val="28"/>
          <w:lang w:eastAsia="ru-RU"/>
        </w:rPr>
        <w:t xml:space="preserve"> на 29 объектах общей площадью 68,4</w:t>
      </w:r>
      <w:r w:rsidRPr="00EC20F8">
        <w:rPr>
          <w:rFonts w:ascii="Times New Roman" w:eastAsia="Courier New" w:hAnsi="Times New Roman" w:cs="Times New Roman"/>
          <w:b/>
          <w:sz w:val="28"/>
          <w:szCs w:val="28"/>
          <w:lang w:eastAsia="ru-RU"/>
        </w:rPr>
        <w:t xml:space="preserve"> </w:t>
      </w:r>
      <w:r w:rsidRPr="00EC20F8">
        <w:rPr>
          <w:rFonts w:ascii="Times New Roman" w:eastAsia="Courier New" w:hAnsi="Times New Roman" w:cs="Times New Roman"/>
          <w:sz w:val="28"/>
          <w:szCs w:val="28"/>
          <w:lang w:eastAsia="ru-RU"/>
        </w:rPr>
        <w:t>тыс. кв. м, наиболее крупными из них являются:</w:t>
      </w:r>
      <w:proofErr w:type="gramEnd"/>
    </w:p>
    <w:p w:rsidR="00660F7A" w:rsidRPr="00EC20F8" w:rsidRDefault="00660F7A" w:rsidP="00660F7A">
      <w:pPr>
        <w:widowControl w:val="0"/>
        <w:spacing w:line="240" w:lineRule="auto"/>
        <w:ind w:firstLine="709"/>
        <w:contextualSpacing/>
        <w:jc w:val="both"/>
        <w:rPr>
          <w:rFonts w:ascii="Times New Roman" w:eastAsia="Times New Roman" w:hAnsi="Times New Roman" w:cs="Times New Roman"/>
          <w:sz w:val="28"/>
          <w:szCs w:val="28"/>
          <w:lang w:eastAsia="ru-RU"/>
        </w:rPr>
      </w:pPr>
      <w:proofErr w:type="gramStart"/>
      <w:r w:rsidRPr="00EC20F8">
        <w:rPr>
          <w:rFonts w:ascii="Times New Roman" w:eastAsia="Times New Roman" w:hAnsi="Times New Roman" w:cs="Times New Roman"/>
          <w:sz w:val="28"/>
          <w:szCs w:val="28"/>
          <w:lang w:eastAsia="ru-RU"/>
        </w:rPr>
        <w:t xml:space="preserve">- </w:t>
      </w:r>
      <w:r w:rsidRPr="00EC20F8">
        <w:rPr>
          <w:rFonts w:ascii="Times New Roman" w:eastAsia="Times New Roman" w:hAnsi="Times New Roman" w:cs="Times New Roman"/>
          <w:i/>
          <w:sz w:val="28"/>
          <w:szCs w:val="28"/>
          <w:lang w:eastAsia="ru-RU"/>
        </w:rPr>
        <w:t>по</w:t>
      </w:r>
      <w:r w:rsidRPr="00EC20F8">
        <w:rPr>
          <w:rFonts w:ascii="Times New Roman" w:eastAsia="Times New Roman" w:hAnsi="Times New Roman" w:cs="Times New Roman"/>
          <w:sz w:val="28"/>
          <w:szCs w:val="28"/>
          <w:lang w:eastAsia="ru-RU"/>
        </w:rPr>
        <w:t xml:space="preserve"> </w:t>
      </w:r>
      <w:r w:rsidRPr="00EC20F8">
        <w:rPr>
          <w:rFonts w:ascii="Times New Roman" w:eastAsia="Times New Roman" w:hAnsi="Times New Roman" w:cs="Times New Roman"/>
          <w:i/>
          <w:sz w:val="28"/>
          <w:szCs w:val="28"/>
          <w:lang w:eastAsia="ru-RU"/>
        </w:rPr>
        <w:t>ремонту автомобильных дорог общего пользования</w:t>
      </w:r>
      <w:r w:rsidRPr="00EC20F8">
        <w:rPr>
          <w:rFonts w:ascii="Times New Roman" w:eastAsia="Times New Roman" w:hAnsi="Times New Roman" w:cs="Times New Roman"/>
          <w:sz w:val="28"/>
          <w:szCs w:val="28"/>
          <w:lang w:eastAsia="ru-RU"/>
        </w:rPr>
        <w:t xml:space="preserve">: пр. 50 лет Октября (от перекрестка ул. Зеркальная - ул. Владивостокская - ул. Автомобилистов до перекрестка ул. </w:t>
      </w:r>
      <w:proofErr w:type="spellStart"/>
      <w:r w:rsidRPr="00EC20F8">
        <w:rPr>
          <w:rFonts w:ascii="Times New Roman" w:eastAsia="Times New Roman" w:hAnsi="Times New Roman" w:cs="Times New Roman"/>
          <w:sz w:val="28"/>
          <w:szCs w:val="28"/>
          <w:lang w:eastAsia="ru-RU"/>
        </w:rPr>
        <w:t>Войцешека</w:t>
      </w:r>
      <w:proofErr w:type="spellEnd"/>
      <w:r w:rsidRPr="00EC20F8">
        <w:rPr>
          <w:rFonts w:ascii="Times New Roman" w:eastAsia="Times New Roman" w:hAnsi="Times New Roman" w:cs="Times New Roman"/>
          <w:sz w:val="28"/>
          <w:szCs w:val="28"/>
          <w:lang w:eastAsia="ru-RU"/>
        </w:rPr>
        <w:t xml:space="preserve"> - ул. </w:t>
      </w:r>
      <w:proofErr w:type="spellStart"/>
      <w:r w:rsidRPr="00EC20F8">
        <w:rPr>
          <w:rFonts w:ascii="Times New Roman" w:eastAsia="Times New Roman" w:hAnsi="Times New Roman" w:cs="Times New Roman"/>
          <w:sz w:val="28"/>
          <w:szCs w:val="28"/>
          <w:lang w:eastAsia="ru-RU"/>
        </w:rPr>
        <w:t>Лукашевского</w:t>
      </w:r>
      <w:proofErr w:type="spellEnd"/>
      <w:r w:rsidRPr="00EC20F8">
        <w:rPr>
          <w:rFonts w:ascii="Times New Roman" w:eastAsia="Times New Roman" w:hAnsi="Times New Roman" w:cs="Times New Roman"/>
          <w:sz w:val="28"/>
          <w:szCs w:val="28"/>
          <w:lang w:eastAsia="ru-RU"/>
        </w:rPr>
        <w:t xml:space="preserve">, с тротуаром с 2-х сторон), пр. 50 лет Октября (от 5 км до ЦУМа (с ремонтом тротуаров), ул. Ленинградская от КП до ул. </w:t>
      </w:r>
      <w:proofErr w:type="spellStart"/>
      <w:r w:rsidRPr="00EC20F8">
        <w:rPr>
          <w:rFonts w:ascii="Times New Roman" w:eastAsia="Times New Roman" w:hAnsi="Times New Roman" w:cs="Times New Roman"/>
          <w:sz w:val="28"/>
          <w:szCs w:val="28"/>
          <w:lang w:eastAsia="ru-RU"/>
        </w:rPr>
        <w:t>Озерновская</w:t>
      </w:r>
      <w:proofErr w:type="spellEnd"/>
      <w:r w:rsidRPr="00EC20F8">
        <w:rPr>
          <w:rFonts w:ascii="Times New Roman" w:eastAsia="Times New Roman" w:hAnsi="Times New Roman" w:cs="Times New Roman"/>
          <w:sz w:val="28"/>
          <w:szCs w:val="28"/>
          <w:lang w:eastAsia="ru-RU"/>
        </w:rPr>
        <w:t xml:space="preserve"> коса (тротуары с 2-х сторон), тротуар по ул. Ленинградская (от </w:t>
      </w:r>
      <w:proofErr w:type="spellStart"/>
      <w:r w:rsidRPr="00EC20F8">
        <w:rPr>
          <w:rFonts w:ascii="Times New Roman" w:eastAsia="Times New Roman" w:hAnsi="Times New Roman" w:cs="Times New Roman"/>
          <w:sz w:val="28"/>
          <w:szCs w:val="28"/>
          <w:lang w:eastAsia="ru-RU"/>
        </w:rPr>
        <w:t>Коммунпроекта</w:t>
      </w:r>
      <w:proofErr w:type="spellEnd"/>
      <w:r w:rsidRPr="00EC20F8">
        <w:rPr>
          <w:rFonts w:ascii="Times New Roman" w:eastAsia="Times New Roman" w:hAnsi="Times New Roman" w:cs="Times New Roman"/>
          <w:sz w:val="28"/>
          <w:szCs w:val="28"/>
          <w:lang w:eastAsia="ru-RU"/>
        </w:rPr>
        <w:t xml:space="preserve"> до</w:t>
      </w:r>
      <w:proofErr w:type="gramEnd"/>
      <w:r w:rsidRPr="00EC20F8">
        <w:rPr>
          <w:rFonts w:ascii="Times New Roman" w:eastAsia="Times New Roman" w:hAnsi="Times New Roman" w:cs="Times New Roman"/>
          <w:sz w:val="28"/>
          <w:szCs w:val="28"/>
          <w:lang w:eastAsia="ru-RU"/>
        </w:rPr>
        <w:t xml:space="preserve"> </w:t>
      </w:r>
      <w:proofErr w:type="gramStart"/>
      <w:r w:rsidRPr="00EC20F8">
        <w:rPr>
          <w:rFonts w:ascii="Times New Roman" w:eastAsia="Times New Roman" w:hAnsi="Times New Roman" w:cs="Times New Roman"/>
          <w:sz w:val="28"/>
          <w:szCs w:val="28"/>
          <w:lang w:eastAsia="ru-RU"/>
        </w:rPr>
        <w:t>КП), тротуар по ул. Владивостокская (район «</w:t>
      </w:r>
      <w:proofErr w:type="spellStart"/>
      <w:r w:rsidRPr="00EC20F8">
        <w:rPr>
          <w:rFonts w:ascii="Times New Roman" w:eastAsia="Times New Roman" w:hAnsi="Times New Roman" w:cs="Times New Roman"/>
          <w:sz w:val="28"/>
          <w:szCs w:val="28"/>
          <w:lang w:eastAsia="ru-RU"/>
        </w:rPr>
        <w:t>Малибу</w:t>
      </w:r>
      <w:proofErr w:type="spellEnd"/>
      <w:r w:rsidRPr="00EC20F8">
        <w:rPr>
          <w:rFonts w:ascii="Times New Roman" w:eastAsia="Times New Roman" w:hAnsi="Times New Roman" w:cs="Times New Roman"/>
          <w:sz w:val="28"/>
          <w:szCs w:val="28"/>
          <w:lang w:eastAsia="ru-RU"/>
        </w:rPr>
        <w:t xml:space="preserve">», у автобусной остановки «ул. Владивостокская») и по ул. Зеркальная, восстановление асфальтобетонного покрытия автомобильной дороги в п. </w:t>
      </w:r>
      <w:proofErr w:type="spellStart"/>
      <w:r w:rsidRPr="00EC20F8">
        <w:rPr>
          <w:rFonts w:ascii="Times New Roman" w:eastAsia="Times New Roman" w:hAnsi="Times New Roman" w:cs="Times New Roman"/>
          <w:sz w:val="28"/>
          <w:szCs w:val="28"/>
          <w:lang w:eastAsia="ru-RU"/>
        </w:rPr>
        <w:t>Завойко</w:t>
      </w:r>
      <w:proofErr w:type="spellEnd"/>
      <w:r w:rsidRPr="00EC20F8">
        <w:rPr>
          <w:rFonts w:ascii="Times New Roman" w:eastAsia="Times New Roman" w:hAnsi="Times New Roman" w:cs="Times New Roman"/>
          <w:sz w:val="28"/>
          <w:szCs w:val="28"/>
          <w:lang w:eastAsia="ru-RU"/>
        </w:rPr>
        <w:t>, ремонт дорожной одежды и ремонт тротуаров на автомобильной дороге «подъезд к Дворцу бракосочетания»;</w:t>
      </w:r>
      <w:proofErr w:type="gramEnd"/>
    </w:p>
    <w:p w:rsidR="00660F7A" w:rsidRPr="00EC20F8" w:rsidRDefault="00660F7A" w:rsidP="00660F7A">
      <w:pPr>
        <w:widowControl w:val="0"/>
        <w:spacing w:line="240" w:lineRule="auto"/>
        <w:ind w:firstLine="709"/>
        <w:contextualSpacing/>
        <w:jc w:val="both"/>
        <w:rPr>
          <w:rFonts w:ascii="Times New Roman" w:eastAsia="Times New Roman" w:hAnsi="Times New Roman" w:cs="Times New Roman"/>
          <w:sz w:val="28"/>
          <w:szCs w:val="28"/>
          <w:lang w:eastAsia="ru-RU"/>
        </w:rPr>
      </w:pPr>
      <w:r w:rsidRPr="00EC20F8">
        <w:rPr>
          <w:rFonts w:ascii="Times New Roman" w:eastAsia="Times New Roman" w:hAnsi="Times New Roman" w:cs="Times New Roman"/>
          <w:i/>
          <w:sz w:val="28"/>
          <w:szCs w:val="28"/>
          <w:lang w:eastAsia="ru-RU"/>
        </w:rPr>
        <w:t>- по восстановлению и ремонту дворовых территорий</w:t>
      </w:r>
      <w:r w:rsidRPr="00EC20F8">
        <w:rPr>
          <w:rFonts w:ascii="Times New Roman" w:eastAsia="Times New Roman" w:hAnsi="Times New Roman" w:cs="Times New Roman"/>
          <w:sz w:val="28"/>
          <w:szCs w:val="28"/>
          <w:lang w:eastAsia="ru-RU"/>
        </w:rPr>
        <w:t xml:space="preserve"> многоквартирных домов и проездов к ним:</w:t>
      </w:r>
      <w:r w:rsidRPr="00EC20F8">
        <w:rPr>
          <w:rFonts w:ascii="Courier New" w:eastAsia="Courier New" w:hAnsi="Courier New" w:cs="Courier New"/>
          <w:sz w:val="24"/>
          <w:szCs w:val="24"/>
          <w:lang w:eastAsia="ru-RU"/>
        </w:rPr>
        <w:t xml:space="preserve"> </w:t>
      </w:r>
      <w:r w:rsidRPr="00EC20F8">
        <w:rPr>
          <w:rFonts w:ascii="Times New Roman" w:eastAsia="Times New Roman" w:hAnsi="Times New Roman" w:cs="Times New Roman"/>
          <w:sz w:val="28"/>
          <w:szCs w:val="28"/>
          <w:lang w:eastAsia="ru-RU"/>
        </w:rPr>
        <w:t>Туристический пр. с выездом на ул. Зеркальная,</w:t>
      </w:r>
      <w:r w:rsidRPr="00EC20F8">
        <w:rPr>
          <w:rFonts w:ascii="Courier New" w:eastAsia="Courier New" w:hAnsi="Courier New" w:cs="Courier New"/>
          <w:sz w:val="24"/>
          <w:szCs w:val="24"/>
          <w:lang w:eastAsia="ru-RU"/>
        </w:rPr>
        <w:t xml:space="preserve"> </w:t>
      </w:r>
      <w:r w:rsidRPr="00EC20F8">
        <w:rPr>
          <w:rFonts w:ascii="Times New Roman" w:eastAsia="Times New Roman" w:hAnsi="Times New Roman" w:cs="Times New Roman"/>
          <w:sz w:val="28"/>
          <w:szCs w:val="28"/>
          <w:lang w:eastAsia="ru-RU"/>
        </w:rPr>
        <w:t xml:space="preserve">проезд ул. Ленинградская, 124, 116 через ул. Чапаева до СОШ №15, проезд вдоль пр. 50 лет Октября, 12, 14 мимо №10/1 с выездом на внутриквартальный проезд, пр. 50 лет Октября, 18; </w:t>
      </w:r>
      <w:proofErr w:type="gramStart"/>
      <w:r w:rsidRPr="00EC20F8">
        <w:rPr>
          <w:rFonts w:ascii="Times New Roman" w:eastAsia="Times New Roman" w:hAnsi="Times New Roman" w:cs="Times New Roman"/>
          <w:sz w:val="28"/>
          <w:szCs w:val="28"/>
          <w:lang w:eastAsia="ru-RU"/>
        </w:rPr>
        <w:t>18/2 (с ливневой канализацией), ремонт внутриквартального проезда вдоль жилых домов №№ 1, 3, с выездом на магистральную дорогу пр. 50 лет Октября и ремонт придомового проезда по ул. Толстого 1 с выездом на внутриквартальный проезд,</w:t>
      </w:r>
      <w:r w:rsidRPr="00EC20F8">
        <w:rPr>
          <w:rFonts w:ascii="Courier New" w:eastAsia="Courier New" w:hAnsi="Courier New" w:cs="Courier New"/>
          <w:sz w:val="24"/>
          <w:szCs w:val="24"/>
          <w:lang w:eastAsia="ru-RU"/>
        </w:rPr>
        <w:t xml:space="preserve"> </w:t>
      </w:r>
      <w:r w:rsidRPr="00EC20F8">
        <w:rPr>
          <w:rFonts w:ascii="Times New Roman" w:eastAsia="Times New Roman" w:hAnsi="Times New Roman" w:cs="Times New Roman"/>
          <w:sz w:val="28"/>
          <w:szCs w:val="28"/>
          <w:lang w:eastAsia="ru-RU"/>
        </w:rPr>
        <w:t xml:space="preserve">ремонт внутриквартального проезда от ул. Владивостокская, 8 до ул. Владивостокская, 14, ремонт автомобильной дороги </w:t>
      </w:r>
      <w:r w:rsidRPr="00EC20F8">
        <w:rPr>
          <w:rFonts w:ascii="Times New Roman" w:eastAsia="Courier New" w:hAnsi="Times New Roman" w:cs="Courier New"/>
          <w:sz w:val="28"/>
          <w:szCs w:val="28"/>
          <w:lang w:eastAsia="ru-RU"/>
        </w:rPr>
        <w:t>«</w:t>
      </w:r>
      <w:r w:rsidRPr="00EC20F8">
        <w:rPr>
          <w:rFonts w:ascii="Times New Roman" w:eastAsia="Times New Roman" w:hAnsi="Times New Roman" w:cs="Times New Roman"/>
          <w:sz w:val="28"/>
          <w:szCs w:val="28"/>
          <w:lang w:eastAsia="ru-RU"/>
        </w:rPr>
        <w:t>проезд по ул. Кавказской</w:t>
      </w:r>
      <w:r w:rsidRPr="00EC20F8">
        <w:rPr>
          <w:rFonts w:ascii="Times New Roman" w:eastAsia="Courier New" w:hAnsi="Times New Roman" w:cs="Courier New"/>
          <w:sz w:val="28"/>
          <w:szCs w:val="28"/>
          <w:lang w:eastAsia="ru-RU"/>
        </w:rPr>
        <w:t>»</w:t>
      </w:r>
      <w:r w:rsidRPr="00EC20F8">
        <w:rPr>
          <w:rFonts w:ascii="Times New Roman" w:eastAsia="Times New Roman" w:hAnsi="Times New Roman" w:cs="Times New Roman"/>
          <w:sz w:val="28"/>
          <w:szCs w:val="28"/>
          <w:lang w:eastAsia="ru-RU"/>
        </w:rPr>
        <w:t>,</w:t>
      </w:r>
      <w:r w:rsidRPr="00EC20F8">
        <w:rPr>
          <w:rFonts w:ascii="Courier New" w:eastAsia="Courier New" w:hAnsi="Courier New" w:cs="Courier New"/>
          <w:sz w:val="24"/>
          <w:szCs w:val="24"/>
          <w:lang w:eastAsia="ru-RU"/>
        </w:rPr>
        <w:t xml:space="preserve"> </w:t>
      </w:r>
      <w:r w:rsidRPr="00EC20F8">
        <w:rPr>
          <w:rFonts w:ascii="Times New Roman" w:eastAsia="Times New Roman" w:hAnsi="Times New Roman" w:cs="Times New Roman"/>
          <w:sz w:val="28"/>
          <w:szCs w:val="28"/>
          <w:lang w:eastAsia="ru-RU"/>
        </w:rPr>
        <w:t>ремонт придомовых проездов по ул. Владивостокская, 2,4,6,10,12,14</w:t>
      </w:r>
      <w:proofErr w:type="gramEnd"/>
      <w:r w:rsidRPr="00EC20F8">
        <w:rPr>
          <w:rFonts w:ascii="Times New Roman" w:eastAsia="Times New Roman" w:hAnsi="Times New Roman" w:cs="Times New Roman"/>
          <w:sz w:val="28"/>
          <w:szCs w:val="28"/>
          <w:lang w:eastAsia="ru-RU"/>
        </w:rPr>
        <w:t xml:space="preserve"> с оборудованием тротуаров к магистральной дороге и перекрытием лотков ливневой канализации.</w:t>
      </w:r>
    </w:p>
    <w:p w:rsidR="00660F7A" w:rsidRPr="00EC20F8" w:rsidRDefault="00660F7A" w:rsidP="00660F7A">
      <w:pPr>
        <w:widowControl w:val="0"/>
        <w:autoSpaceDE w:val="0"/>
        <w:autoSpaceDN w:val="0"/>
        <w:adjustRightInd w:val="0"/>
        <w:spacing w:line="240" w:lineRule="auto"/>
        <w:ind w:firstLine="709"/>
        <w:jc w:val="both"/>
        <w:rPr>
          <w:rFonts w:ascii="Times New Roman" w:eastAsia="Times New Roman" w:hAnsi="Times New Roman" w:cs="Courier New"/>
          <w:sz w:val="28"/>
          <w:szCs w:val="28"/>
          <w:lang w:eastAsia="ru-RU"/>
        </w:rPr>
      </w:pPr>
      <w:proofErr w:type="gramStart"/>
      <w:r w:rsidRPr="00EC20F8">
        <w:rPr>
          <w:rFonts w:ascii="Times New Roman" w:eastAsia="Times New Roman" w:hAnsi="Times New Roman" w:cs="Courier New"/>
          <w:sz w:val="28"/>
          <w:szCs w:val="28"/>
          <w:lang w:eastAsia="ru-RU"/>
        </w:rPr>
        <w:t xml:space="preserve">В 2014 году </w:t>
      </w:r>
      <w:r w:rsidRPr="00EC20F8">
        <w:rPr>
          <w:rFonts w:ascii="Times New Roman" w:eastAsia="Courier New" w:hAnsi="Times New Roman" w:cs="Courier New"/>
          <w:sz w:val="28"/>
          <w:szCs w:val="28"/>
          <w:lang w:eastAsia="ru-RU"/>
        </w:rPr>
        <w:t>в рамках муниципальной программы «Развитие транспортной системы Петропавловск-Камчатского городского округа» (подпрограмма 1</w:t>
      </w:r>
      <w:r w:rsidRPr="00EC20F8">
        <w:rPr>
          <w:rFonts w:ascii="Times New Roman" w:eastAsia="Calibri" w:hAnsi="Times New Roman" w:cs="Courier New"/>
          <w:sz w:val="28"/>
          <w:szCs w:val="28"/>
          <w:lang w:eastAsia="ru-RU"/>
        </w:rPr>
        <w:t xml:space="preserve"> «Модернизация и развитие автомобильных дорог общего пользования местного значения») </w:t>
      </w:r>
      <w:r w:rsidRPr="00EC20F8">
        <w:rPr>
          <w:rFonts w:ascii="Times New Roman" w:eastAsia="Courier New" w:hAnsi="Times New Roman" w:cs="Courier New"/>
          <w:sz w:val="28"/>
          <w:szCs w:val="28"/>
          <w:lang w:eastAsia="ru-RU"/>
        </w:rPr>
        <w:t xml:space="preserve"> </w:t>
      </w:r>
      <w:r w:rsidRPr="00EC20F8">
        <w:rPr>
          <w:rFonts w:ascii="Times New Roman" w:eastAsia="Times New Roman" w:hAnsi="Times New Roman" w:cs="Courier New"/>
          <w:sz w:val="28"/>
          <w:szCs w:val="28"/>
          <w:lang w:eastAsia="ru-RU"/>
        </w:rPr>
        <w:t>продолжено строительство автомобильной дороги от II кольца до улицы Кавказской, включая улицу Ломоносова (протяженностью 3,62 км).</w:t>
      </w:r>
      <w:proofErr w:type="gramEnd"/>
    </w:p>
    <w:p w:rsidR="00660F7A" w:rsidRPr="00EC20F8" w:rsidRDefault="00660F7A" w:rsidP="00660F7A">
      <w:pPr>
        <w:widowControl w:val="0"/>
        <w:autoSpaceDE w:val="0"/>
        <w:autoSpaceDN w:val="0"/>
        <w:adjustRightInd w:val="0"/>
        <w:spacing w:line="240" w:lineRule="auto"/>
        <w:ind w:firstLine="709"/>
        <w:jc w:val="both"/>
        <w:rPr>
          <w:rFonts w:ascii="Times New Roman" w:eastAsia="Times New Roman" w:hAnsi="Times New Roman" w:cs="Courier New"/>
          <w:sz w:val="28"/>
          <w:szCs w:val="28"/>
          <w:lang w:eastAsia="ru-RU"/>
        </w:rPr>
      </w:pPr>
      <w:r w:rsidRPr="00EC20F8">
        <w:rPr>
          <w:rFonts w:ascii="Times New Roman" w:eastAsia="Times New Roman" w:hAnsi="Times New Roman" w:cs="Courier New"/>
          <w:sz w:val="28"/>
          <w:szCs w:val="28"/>
          <w:lang w:eastAsia="ru-RU"/>
        </w:rPr>
        <w:t>Начато строительство автомобильных дорог и магистралей</w:t>
      </w:r>
      <w:r w:rsidRPr="00EC20F8">
        <w:rPr>
          <w:rFonts w:ascii="Courier New" w:eastAsia="Courier New" w:hAnsi="Courier New" w:cs="Courier New"/>
          <w:sz w:val="24"/>
          <w:szCs w:val="24"/>
          <w:lang w:eastAsia="ru-RU"/>
        </w:rPr>
        <w:t xml:space="preserve"> </w:t>
      </w:r>
      <w:r w:rsidRPr="00EC20F8">
        <w:rPr>
          <w:rFonts w:ascii="Times New Roman" w:eastAsia="Times New Roman" w:hAnsi="Times New Roman" w:cs="Courier New"/>
          <w:sz w:val="28"/>
          <w:szCs w:val="28"/>
          <w:lang w:eastAsia="ru-RU"/>
        </w:rPr>
        <w:t xml:space="preserve">общего пользования: от поста ГАИ до улицы Академика Королева с развязкой в микрорайоне </w:t>
      </w:r>
      <w:proofErr w:type="spellStart"/>
      <w:r w:rsidRPr="00EC20F8">
        <w:rPr>
          <w:rFonts w:ascii="Times New Roman" w:eastAsia="Times New Roman" w:hAnsi="Times New Roman" w:cs="Courier New"/>
          <w:sz w:val="28"/>
          <w:szCs w:val="28"/>
          <w:lang w:eastAsia="ru-RU"/>
        </w:rPr>
        <w:t>Северо-Восток</w:t>
      </w:r>
      <w:proofErr w:type="spellEnd"/>
      <w:r w:rsidRPr="00EC20F8">
        <w:rPr>
          <w:rFonts w:ascii="Times New Roman" w:eastAsia="Times New Roman" w:hAnsi="Times New Roman" w:cs="Courier New"/>
          <w:sz w:val="28"/>
          <w:szCs w:val="28"/>
          <w:lang w:eastAsia="ru-RU"/>
        </w:rPr>
        <w:t xml:space="preserve"> (3,92 км),  по ул. Дальневосточной (0,74 км), по ул. Ларина с устройством транспортной развязки и  водопропускными сооружениями в (1,09 км),   от ул. Тушканова до пр. </w:t>
      </w:r>
      <w:proofErr w:type="gramStart"/>
      <w:r w:rsidRPr="00EC20F8">
        <w:rPr>
          <w:rFonts w:ascii="Times New Roman" w:eastAsia="Times New Roman" w:hAnsi="Times New Roman" w:cs="Courier New"/>
          <w:sz w:val="28"/>
          <w:szCs w:val="28"/>
          <w:lang w:eastAsia="ru-RU"/>
        </w:rPr>
        <w:t xml:space="preserve">Карла Маркса (0,25 км), реконструкция и капитальный ремонт магистральной </w:t>
      </w:r>
      <w:r w:rsidRPr="00EC20F8">
        <w:rPr>
          <w:rFonts w:ascii="Times New Roman" w:eastAsia="Times New Roman" w:hAnsi="Times New Roman" w:cs="Courier New"/>
          <w:i/>
          <w:sz w:val="28"/>
          <w:szCs w:val="28"/>
          <w:lang w:eastAsia="ru-RU"/>
        </w:rPr>
        <w:t>у</w:t>
      </w:r>
      <w:r w:rsidRPr="00EC20F8">
        <w:rPr>
          <w:rFonts w:ascii="Times New Roman" w:eastAsia="Times New Roman" w:hAnsi="Times New Roman" w:cs="Courier New"/>
          <w:sz w:val="28"/>
          <w:szCs w:val="28"/>
          <w:lang w:eastAsia="ru-RU"/>
        </w:rPr>
        <w:t xml:space="preserve">лицы общегородского  и районного значения  ул. </w:t>
      </w:r>
      <w:proofErr w:type="spellStart"/>
      <w:r w:rsidRPr="00EC20F8">
        <w:rPr>
          <w:rFonts w:ascii="Times New Roman" w:eastAsia="Times New Roman" w:hAnsi="Times New Roman" w:cs="Courier New"/>
          <w:sz w:val="28"/>
          <w:szCs w:val="28"/>
          <w:lang w:eastAsia="ru-RU"/>
        </w:rPr>
        <w:t>Вулканная</w:t>
      </w:r>
      <w:proofErr w:type="spellEnd"/>
      <w:r w:rsidRPr="00EC20F8">
        <w:rPr>
          <w:rFonts w:ascii="Times New Roman" w:eastAsia="Times New Roman" w:hAnsi="Times New Roman" w:cs="Courier New"/>
          <w:sz w:val="28"/>
          <w:szCs w:val="28"/>
          <w:lang w:eastAsia="ru-RU"/>
        </w:rPr>
        <w:t xml:space="preserve"> - ул. Чубарова  (от поста ГИБДД до пересечения с пр.</w:t>
      </w:r>
      <w:proofErr w:type="gramEnd"/>
      <w:r w:rsidRPr="00EC20F8">
        <w:rPr>
          <w:rFonts w:ascii="Times New Roman" w:eastAsia="Times New Roman" w:hAnsi="Times New Roman" w:cs="Courier New"/>
          <w:sz w:val="28"/>
          <w:szCs w:val="28"/>
          <w:lang w:eastAsia="ru-RU"/>
        </w:rPr>
        <w:t xml:space="preserve"> </w:t>
      </w:r>
      <w:proofErr w:type="gramStart"/>
      <w:r w:rsidRPr="00EC20F8">
        <w:rPr>
          <w:rFonts w:ascii="Times New Roman" w:eastAsia="Times New Roman" w:hAnsi="Times New Roman" w:cs="Courier New"/>
          <w:sz w:val="28"/>
          <w:szCs w:val="28"/>
          <w:lang w:eastAsia="ru-RU"/>
        </w:rPr>
        <w:t>Победы) (2,74 км).</w:t>
      </w:r>
      <w:proofErr w:type="gramEnd"/>
    </w:p>
    <w:p w:rsidR="00660F7A" w:rsidRPr="00EC20F8" w:rsidRDefault="00660F7A" w:rsidP="00660F7A">
      <w:pPr>
        <w:widowControl w:val="0"/>
        <w:autoSpaceDE w:val="0"/>
        <w:autoSpaceDN w:val="0"/>
        <w:adjustRightInd w:val="0"/>
        <w:spacing w:line="240" w:lineRule="auto"/>
        <w:ind w:firstLine="709"/>
        <w:jc w:val="both"/>
        <w:rPr>
          <w:rFonts w:ascii="Times New Roman" w:eastAsia="Times New Roman" w:hAnsi="Times New Roman" w:cs="Times New Roman"/>
          <w:sz w:val="28"/>
          <w:szCs w:val="28"/>
          <w:lang w:eastAsia="ru-RU"/>
        </w:rPr>
      </w:pPr>
      <w:r w:rsidRPr="00EC20F8">
        <w:rPr>
          <w:rFonts w:ascii="Times New Roman" w:eastAsia="Times New Roman" w:hAnsi="Times New Roman" w:cs="Times New Roman"/>
          <w:sz w:val="28"/>
          <w:szCs w:val="28"/>
          <w:lang w:eastAsia="ru-RU"/>
        </w:rPr>
        <w:t>К</w:t>
      </w:r>
      <w:r w:rsidRPr="00EC20F8">
        <w:rPr>
          <w:rFonts w:ascii="Times New Roman" w:eastAsia="Courier New" w:hAnsi="Times New Roman" w:cs="Times New Roman"/>
          <w:sz w:val="28"/>
          <w:szCs w:val="28"/>
          <w:lang w:eastAsia="ru-RU"/>
        </w:rPr>
        <w:t xml:space="preserve"> концу 2014 года планируется закончить разработку проектной</w:t>
      </w:r>
      <w:r w:rsidRPr="00EC20F8">
        <w:rPr>
          <w:rFonts w:ascii="Courier New" w:eastAsia="Courier New" w:hAnsi="Courier New" w:cs="Courier New"/>
          <w:sz w:val="28"/>
          <w:szCs w:val="28"/>
          <w:lang w:eastAsia="ru-RU"/>
        </w:rPr>
        <w:t xml:space="preserve"> </w:t>
      </w:r>
      <w:r w:rsidRPr="00EC20F8">
        <w:rPr>
          <w:rFonts w:ascii="Times New Roman" w:eastAsia="Courier New" w:hAnsi="Times New Roman" w:cs="Times New Roman"/>
          <w:sz w:val="28"/>
          <w:szCs w:val="28"/>
          <w:lang w:eastAsia="ru-RU"/>
        </w:rPr>
        <w:t>документации</w:t>
      </w:r>
      <w:r w:rsidRPr="00EC20F8">
        <w:rPr>
          <w:rFonts w:ascii="Times New Roman" w:eastAsia="Times New Roman" w:hAnsi="Times New Roman" w:cs="Times New Roman"/>
          <w:sz w:val="28"/>
          <w:szCs w:val="28"/>
          <w:lang w:eastAsia="ru-RU"/>
        </w:rPr>
        <w:t xml:space="preserve"> на строительство объездной дороги от Петропавловского шоссе до жилого района «</w:t>
      </w:r>
      <w:proofErr w:type="spellStart"/>
      <w:r w:rsidRPr="00EC20F8">
        <w:rPr>
          <w:rFonts w:ascii="Times New Roman" w:eastAsia="Times New Roman" w:hAnsi="Times New Roman" w:cs="Times New Roman"/>
          <w:sz w:val="28"/>
          <w:szCs w:val="28"/>
          <w:lang w:eastAsia="ru-RU"/>
        </w:rPr>
        <w:t>Северо-Восток</w:t>
      </w:r>
      <w:proofErr w:type="spellEnd"/>
      <w:r w:rsidRPr="00EC20F8">
        <w:rPr>
          <w:rFonts w:ascii="Times New Roman" w:eastAsia="Times New Roman" w:hAnsi="Times New Roman" w:cs="Times New Roman"/>
          <w:sz w:val="28"/>
          <w:szCs w:val="28"/>
          <w:lang w:eastAsia="ru-RU"/>
        </w:rPr>
        <w:t xml:space="preserve">» (1 этап - от Петропавловского шоссе до улицы Солнечная»), автомобильной дороги ул. Ларина - пр. Циолковского, магистрали в районе 10 км - Сероглазка - 8 км, автомобильной дороги общегородского значения  по проспекту </w:t>
      </w:r>
      <w:proofErr w:type="spellStart"/>
      <w:r w:rsidRPr="00EC20F8">
        <w:rPr>
          <w:rFonts w:ascii="Times New Roman" w:eastAsia="Times New Roman" w:hAnsi="Times New Roman" w:cs="Times New Roman"/>
          <w:sz w:val="28"/>
          <w:szCs w:val="28"/>
          <w:lang w:eastAsia="ru-RU"/>
        </w:rPr>
        <w:t>Таранца</w:t>
      </w:r>
      <w:proofErr w:type="spellEnd"/>
      <w:r w:rsidRPr="00EC20F8">
        <w:rPr>
          <w:rFonts w:ascii="Times New Roman" w:eastAsia="Times New Roman" w:hAnsi="Times New Roman" w:cs="Times New Roman"/>
          <w:sz w:val="28"/>
          <w:szCs w:val="28"/>
          <w:lang w:eastAsia="ru-RU"/>
        </w:rPr>
        <w:t xml:space="preserve"> с устройством транспортной развязки и  водопропускными сооружениями.</w:t>
      </w:r>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 xml:space="preserve">За последние годы проведена значительная работа по приведению в порядок не только магистральных дорог, но и межквартальных проездов, тротуаров, подъездов к объектам социальной сферы. Вместе с тем, в связи с недостаточностью финансирования на приведение в нормативное состояние асфальтобетонного покрытия дорог, наблюдается </w:t>
      </w:r>
      <w:r w:rsidRPr="00EC20F8">
        <w:rPr>
          <w:rFonts w:ascii="Times New Roman" w:eastAsia="Courier New" w:hAnsi="Times New Roman" w:cs="Times New Roman"/>
          <w:bCs/>
          <w:iCs/>
          <w:sz w:val="28"/>
          <w:szCs w:val="28"/>
          <w:lang w:eastAsia="ru-RU"/>
        </w:rPr>
        <w:t>высокая доля автомобильных дорог, не соответствующих нормативным требованиям по транспортно-эксплуатационному состоянию,</w:t>
      </w:r>
      <w:r w:rsidRPr="00EC20F8">
        <w:rPr>
          <w:rFonts w:ascii="Times New Roman" w:eastAsia="Courier New" w:hAnsi="Times New Roman" w:cs="Times New Roman"/>
          <w:sz w:val="28"/>
          <w:szCs w:val="28"/>
          <w:lang w:eastAsia="ru-RU"/>
        </w:rPr>
        <w:t xml:space="preserve"> отсутствие или плохое состояние ливневой канализации, линий наружного освещения. </w:t>
      </w:r>
      <w:r w:rsidRPr="00EC20F8">
        <w:rPr>
          <w:rFonts w:ascii="Times New Roman" w:eastAsia="Courier New" w:hAnsi="Times New Roman" w:cs="Times New Roman"/>
          <w:bCs/>
          <w:iCs/>
          <w:sz w:val="28"/>
          <w:szCs w:val="28"/>
          <w:lang w:eastAsia="ru-RU"/>
        </w:rPr>
        <w:t>Имеется недостаточная пропускная способность и перегруженность дорожной сети, высокий уровень аварийности.</w:t>
      </w:r>
      <w:r w:rsidRPr="00EC20F8">
        <w:rPr>
          <w:rFonts w:ascii="Times New Roman" w:eastAsia="Courier New" w:hAnsi="Times New Roman" w:cs="Times New Roman"/>
          <w:sz w:val="28"/>
          <w:szCs w:val="28"/>
          <w:lang w:eastAsia="ru-RU"/>
        </w:rPr>
        <w:t xml:space="preserve"> Существующая дорожно-транспортная сеть не справляется с приростом числа автомобилей как личного, так и общественного транспорта.</w:t>
      </w:r>
    </w:p>
    <w:p w:rsidR="00660F7A" w:rsidRPr="00EC20F8" w:rsidRDefault="00660F7A" w:rsidP="00660F7A">
      <w:pPr>
        <w:widowControl w:val="0"/>
        <w:spacing w:line="240" w:lineRule="auto"/>
        <w:ind w:firstLine="709"/>
        <w:jc w:val="both"/>
        <w:rPr>
          <w:rFonts w:ascii="Courier New" w:eastAsia="Courier New" w:hAnsi="Courier New" w:cs="Courier New"/>
          <w:sz w:val="20"/>
          <w:szCs w:val="20"/>
          <w:lang w:eastAsia="ru-RU"/>
        </w:rPr>
      </w:pPr>
      <w:r w:rsidRPr="00EC20F8">
        <w:rPr>
          <w:rFonts w:ascii="Times New Roman" w:eastAsia="Courier New" w:hAnsi="Times New Roman" w:cs="Times New Roman"/>
          <w:sz w:val="28"/>
          <w:szCs w:val="28"/>
          <w:lang w:eastAsia="ru-RU"/>
        </w:rPr>
        <w:t>Кроме того, недостаточное финансирование не позволяет проводить работы по содержанию дорог в полном объеме.</w:t>
      </w:r>
      <w:r w:rsidRPr="00EC20F8">
        <w:rPr>
          <w:rFonts w:ascii="Courier New" w:eastAsia="Courier New" w:hAnsi="Courier New" w:cs="Courier New"/>
          <w:sz w:val="20"/>
          <w:szCs w:val="20"/>
          <w:lang w:eastAsia="ru-RU"/>
        </w:rPr>
        <w:t xml:space="preserve"> </w:t>
      </w:r>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bCs/>
          <w:iCs/>
          <w:sz w:val="28"/>
          <w:szCs w:val="28"/>
          <w:lang w:eastAsia="ru-RU"/>
        </w:rPr>
        <w:t>Учитывая изложенные проблемы</w:t>
      </w:r>
      <w:r w:rsidRPr="00EC20F8">
        <w:rPr>
          <w:rFonts w:ascii="Times New Roman" w:eastAsia="Courier New" w:hAnsi="Times New Roman" w:cs="Times New Roman"/>
          <w:b/>
          <w:bCs/>
          <w:i/>
          <w:iCs/>
          <w:sz w:val="28"/>
          <w:szCs w:val="28"/>
          <w:lang w:eastAsia="ru-RU"/>
        </w:rPr>
        <w:t>, в</w:t>
      </w:r>
      <w:r w:rsidRPr="00EC20F8">
        <w:rPr>
          <w:rFonts w:ascii="Times New Roman" w:eastAsia="Courier New" w:hAnsi="Times New Roman" w:cs="Times New Roman"/>
          <w:b/>
          <w:i/>
          <w:sz w:val="28"/>
          <w:szCs w:val="28"/>
          <w:lang w:eastAsia="ru-RU"/>
        </w:rPr>
        <w:t xml:space="preserve"> 2015-2017 годах</w:t>
      </w:r>
      <w:r w:rsidRPr="00EC20F8">
        <w:rPr>
          <w:rFonts w:ascii="Times New Roman" w:eastAsia="Courier New" w:hAnsi="Times New Roman" w:cs="Times New Roman"/>
          <w:sz w:val="28"/>
          <w:szCs w:val="28"/>
          <w:lang w:eastAsia="ru-RU"/>
        </w:rPr>
        <w:t xml:space="preserve"> </w:t>
      </w:r>
      <w:r w:rsidRPr="00EC20F8">
        <w:rPr>
          <w:rFonts w:ascii="Times New Roman" w:eastAsia="Courier New" w:hAnsi="Times New Roman" w:cs="Times New Roman"/>
          <w:bCs/>
          <w:iCs/>
          <w:sz w:val="28"/>
          <w:szCs w:val="28"/>
          <w:lang w:eastAsia="ru-RU"/>
        </w:rPr>
        <w:t>в</w:t>
      </w:r>
      <w:r w:rsidRPr="00EC20F8">
        <w:rPr>
          <w:rFonts w:ascii="Times New Roman" w:eastAsia="Courier New" w:hAnsi="Times New Roman" w:cs="Times New Roman"/>
          <w:b/>
          <w:bCs/>
          <w:i/>
          <w:iCs/>
          <w:sz w:val="28"/>
          <w:szCs w:val="28"/>
          <w:lang w:eastAsia="ru-RU"/>
        </w:rPr>
        <w:t xml:space="preserve"> </w:t>
      </w:r>
      <w:r w:rsidRPr="00EC20F8">
        <w:rPr>
          <w:rFonts w:ascii="Times New Roman" w:eastAsia="Courier New" w:hAnsi="Times New Roman" w:cs="Times New Roman"/>
          <w:bCs/>
          <w:iCs/>
          <w:sz w:val="28"/>
          <w:szCs w:val="28"/>
          <w:lang w:eastAsia="ru-RU"/>
        </w:rPr>
        <w:t xml:space="preserve">сфере развития </w:t>
      </w:r>
      <w:r w:rsidRPr="00EC20F8">
        <w:rPr>
          <w:rFonts w:ascii="Times New Roman" w:eastAsia="Courier New" w:hAnsi="Times New Roman" w:cs="Times New Roman"/>
          <w:sz w:val="28"/>
          <w:szCs w:val="28"/>
          <w:lang w:eastAsia="ru-RU"/>
        </w:rPr>
        <w:t>дорожно-транспортная сети прогнозируется  реализация следующих приоритетных направлений:</w:t>
      </w:r>
    </w:p>
    <w:p w:rsidR="00660F7A" w:rsidRPr="00EC20F8" w:rsidRDefault="00660F7A" w:rsidP="00660F7A">
      <w:pPr>
        <w:widowControl w:val="0"/>
        <w:autoSpaceDE w:val="0"/>
        <w:autoSpaceDN w:val="0"/>
        <w:adjustRightInd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 приведение автомобильных дорог общего пользования, внутриквартальных дорог и придомовых проездов городского округа в состояние, отвечающее требованиям технических регламентов;</w:t>
      </w:r>
    </w:p>
    <w:p w:rsidR="00660F7A" w:rsidRPr="00EC20F8" w:rsidRDefault="00660F7A" w:rsidP="00660F7A">
      <w:pPr>
        <w:widowControl w:val="0"/>
        <w:autoSpaceDE w:val="0"/>
        <w:autoSpaceDN w:val="0"/>
        <w:adjustRightInd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 развитие и модернизация автомобильных дорог общего пользования местного значения.</w:t>
      </w:r>
    </w:p>
    <w:p w:rsidR="00660F7A" w:rsidRPr="00EC20F8" w:rsidRDefault="00660F7A" w:rsidP="00660F7A">
      <w:pPr>
        <w:widowControl w:val="0"/>
        <w:autoSpaceDE w:val="0"/>
        <w:autoSpaceDN w:val="0"/>
        <w:adjustRightInd w:val="0"/>
        <w:spacing w:line="240" w:lineRule="auto"/>
        <w:ind w:firstLine="709"/>
        <w:jc w:val="both"/>
        <w:rPr>
          <w:rFonts w:ascii="Times New Roman" w:eastAsia="Courier New" w:hAnsi="Times New Roman" w:cs="Times New Roman"/>
          <w:sz w:val="28"/>
          <w:szCs w:val="28"/>
          <w:lang w:eastAsia="ru-RU"/>
        </w:rPr>
      </w:pPr>
      <w:proofErr w:type="gramStart"/>
      <w:r w:rsidRPr="00EC20F8">
        <w:rPr>
          <w:rFonts w:ascii="Times New Roman" w:eastAsia="Courier New" w:hAnsi="Times New Roman" w:cs="Times New Roman"/>
          <w:sz w:val="28"/>
          <w:szCs w:val="28"/>
          <w:lang w:eastAsia="ru-RU"/>
        </w:rPr>
        <w:t>Реализация мероприятий муниципальной программы «Энергоэффективность, развитие энергетики и коммунального хозяйства, обеспечение жителей Петропавловск-Камчатского городского округа коммунальными услугами, услугами по благоустройству территории и охрана окружающей среды» (подпрограмма 3 «Комплексное благоустройство Петропавловск-Камчатского городского округа») в 2015-2017 годах позволит увеличить площадь автомобильных дорог общего пользования, внутриквартальных дорог и придомовых проездов городского округа, отвечающих требованиям технических регламентов.</w:t>
      </w:r>
      <w:proofErr w:type="gramEnd"/>
    </w:p>
    <w:p w:rsidR="00660F7A" w:rsidRPr="00EC20F8" w:rsidRDefault="00660F7A" w:rsidP="00660F7A">
      <w:pPr>
        <w:widowControl w:val="0"/>
        <w:autoSpaceDE w:val="0"/>
        <w:autoSpaceDN w:val="0"/>
        <w:adjustRightInd w:val="0"/>
        <w:spacing w:line="240" w:lineRule="auto"/>
        <w:ind w:firstLine="709"/>
        <w:jc w:val="both"/>
        <w:rPr>
          <w:rFonts w:ascii="Times New Roman" w:eastAsia="Courier New" w:hAnsi="Times New Roman" w:cs="Times New Roman"/>
          <w:bCs/>
          <w:iCs/>
          <w:strike/>
          <w:sz w:val="28"/>
          <w:szCs w:val="28"/>
          <w:lang w:eastAsia="ru-RU"/>
        </w:rPr>
      </w:pPr>
      <w:proofErr w:type="gramStart"/>
      <w:r w:rsidRPr="00EC20F8">
        <w:rPr>
          <w:rFonts w:ascii="Times New Roman" w:eastAsia="Courier New" w:hAnsi="Times New Roman" w:cs="Times New Roman"/>
          <w:sz w:val="28"/>
          <w:szCs w:val="28"/>
          <w:lang w:eastAsia="ru-RU"/>
        </w:rPr>
        <w:t>В целях комплексного решения проблем  дорожной инфраструктуры в среднесрочном периоде будут реализованы мероприятия муниципальной программы «Развитие транспортной системы Петропавловск-Камчатского городского округа» (подпрограмма 1 «Модернизация и развитие автомобильных дорог общего пользования местного значения»).</w:t>
      </w:r>
      <w:proofErr w:type="gramEnd"/>
    </w:p>
    <w:p w:rsidR="00660F7A" w:rsidRPr="00EC20F8" w:rsidRDefault="00660F7A" w:rsidP="00660F7A">
      <w:pPr>
        <w:widowControl w:val="0"/>
        <w:spacing w:line="240" w:lineRule="auto"/>
        <w:ind w:firstLine="567"/>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 xml:space="preserve">По итогам реализации программы планируется </w:t>
      </w:r>
      <w:r w:rsidRPr="00EC20F8">
        <w:rPr>
          <w:rFonts w:ascii="Times New Roman" w:eastAsia="Courier New" w:hAnsi="Times New Roman" w:cs="Times New Roman"/>
          <w:bCs/>
          <w:sz w:val="28"/>
          <w:szCs w:val="28"/>
          <w:lang w:eastAsia="ru-RU"/>
        </w:rPr>
        <w:t xml:space="preserve">выполнить строительство 22,41 </w:t>
      </w:r>
      <w:r w:rsidRPr="00EC20F8">
        <w:rPr>
          <w:rFonts w:ascii="Times New Roman" w:eastAsia="Courier New" w:hAnsi="Times New Roman" w:cs="Times New Roman"/>
          <w:sz w:val="28"/>
          <w:szCs w:val="28"/>
          <w:lang w:eastAsia="ru-RU"/>
        </w:rPr>
        <w:t xml:space="preserve">километров новых дорог и </w:t>
      </w:r>
      <w:r w:rsidRPr="00EC20F8">
        <w:rPr>
          <w:rFonts w:ascii="Times New Roman" w:eastAsia="Courier New" w:hAnsi="Times New Roman" w:cs="Times New Roman"/>
          <w:bCs/>
          <w:sz w:val="28"/>
          <w:szCs w:val="28"/>
          <w:lang w:eastAsia="ru-RU"/>
        </w:rPr>
        <w:t>провести реконструкцию 4,94 километра  существующих дорог</w:t>
      </w:r>
      <w:r w:rsidRPr="00EC20F8">
        <w:rPr>
          <w:rFonts w:ascii="Times New Roman" w:eastAsia="Courier New" w:hAnsi="Times New Roman" w:cs="Times New Roman"/>
          <w:sz w:val="28"/>
          <w:szCs w:val="28"/>
          <w:lang w:eastAsia="ru-RU"/>
        </w:rPr>
        <w:t>.</w:t>
      </w:r>
    </w:p>
    <w:p w:rsidR="00660F7A" w:rsidRPr="00EC20F8" w:rsidRDefault="00660F7A" w:rsidP="00660F7A">
      <w:pPr>
        <w:widowControl w:val="0"/>
        <w:spacing w:line="240" w:lineRule="auto"/>
        <w:ind w:firstLine="567"/>
        <w:jc w:val="both"/>
        <w:rPr>
          <w:rFonts w:ascii="Times New Roman" w:eastAsia="Courier New" w:hAnsi="Times New Roman" w:cs="Times New Roman"/>
          <w:sz w:val="28"/>
          <w:szCs w:val="28"/>
          <w:lang w:eastAsia="ru-RU"/>
        </w:rPr>
      </w:pPr>
      <w:proofErr w:type="gramStart"/>
      <w:r w:rsidRPr="00EC20F8">
        <w:rPr>
          <w:rFonts w:ascii="Times New Roman" w:eastAsia="Courier New" w:hAnsi="Times New Roman" w:cs="Times New Roman"/>
          <w:sz w:val="28"/>
          <w:szCs w:val="28"/>
          <w:lang w:eastAsia="ru-RU"/>
        </w:rPr>
        <w:t xml:space="preserve">В рамках подпрограммы 1 «Модернизация и развитие автомобильных дорог общего пользования местного значения» планируется продолжить строительство дороги общегородского значения по ул. Дальневосточной (период 2015-2016 годы); магистрали общегородского значения от поста ГАИ до улицы Академика Королева с развязкой в микрорайоне </w:t>
      </w:r>
      <w:proofErr w:type="spellStart"/>
      <w:r w:rsidRPr="00EC20F8">
        <w:rPr>
          <w:rFonts w:ascii="Times New Roman" w:eastAsia="Courier New" w:hAnsi="Times New Roman" w:cs="Times New Roman"/>
          <w:sz w:val="28"/>
          <w:szCs w:val="28"/>
          <w:lang w:eastAsia="ru-RU"/>
        </w:rPr>
        <w:t>Северо-Восток</w:t>
      </w:r>
      <w:proofErr w:type="spellEnd"/>
      <w:r w:rsidRPr="00EC20F8">
        <w:rPr>
          <w:rFonts w:ascii="Times New Roman" w:eastAsia="Courier New" w:hAnsi="Times New Roman" w:cs="Times New Roman"/>
          <w:sz w:val="28"/>
          <w:szCs w:val="28"/>
          <w:lang w:eastAsia="ru-RU"/>
        </w:rPr>
        <w:t xml:space="preserve"> (период 2015-2016 годы); магистрали общегородского значения от II кольца до улицы Кавказской, включая улицу Ломоносова (период 2015-2016 годы);</w:t>
      </w:r>
      <w:proofErr w:type="gramEnd"/>
      <w:r w:rsidRPr="00EC20F8">
        <w:rPr>
          <w:rFonts w:ascii="Times New Roman" w:eastAsia="Courier New" w:hAnsi="Times New Roman" w:cs="Times New Roman"/>
          <w:sz w:val="28"/>
          <w:szCs w:val="28"/>
          <w:lang w:eastAsia="ru-RU"/>
        </w:rPr>
        <w:t xml:space="preserve"> дороги по ул. Ларина с устройством транспортной развязки </w:t>
      </w:r>
      <w:r w:rsidR="00275612" w:rsidRPr="00EC20F8">
        <w:rPr>
          <w:rFonts w:ascii="Times New Roman" w:eastAsia="Courier New" w:hAnsi="Times New Roman" w:cs="Times New Roman"/>
          <w:sz w:val="28"/>
          <w:szCs w:val="28"/>
          <w:lang w:eastAsia="ru-RU"/>
        </w:rPr>
        <w:t>и водопропускными сооружениями</w:t>
      </w:r>
      <w:r w:rsidRPr="00EC20F8">
        <w:rPr>
          <w:rFonts w:ascii="Times New Roman" w:eastAsia="Courier New" w:hAnsi="Times New Roman" w:cs="Times New Roman"/>
          <w:sz w:val="28"/>
          <w:szCs w:val="28"/>
          <w:lang w:eastAsia="ru-RU"/>
        </w:rPr>
        <w:t xml:space="preserve"> (период 2015-2016 годы); дороги районного значения от ул.</w:t>
      </w:r>
      <w:r w:rsidR="00275612" w:rsidRPr="00EC20F8">
        <w:rPr>
          <w:rFonts w:ascii="Times New Roman" w:eastAsia="Courier New" w:hAnsi="Times New Roman" w:cs="Times New Roman"/>
          <w:sz w:val="28"/>
          <w:szCs w:val="28"/>
          <w:lang w:eastAsia="ru-RU"/>
        </w:rPr>
        <w:t xml:space="preserve"> Тушканова до пр. Карла Маркса </w:t>
      </w:r>
      <w:r w:rsidRPr="00EC20F8">
        <w:rPr>
          <w:rFonts w:ascii="Times New Roman" w:eastAsia="Courier New" w:hAnsi="Times New Roman" w:cs="Times New Roman"/>
          <w:sz w:val="28"/>
          <w:szCs w:val="28"/>
          <w:lang w:eastAsia="ru-RU"/>
        </w:rPr>
        <w:t>(2016 год).</w:t>
      </w:r>
    </w:p>
    <w:p w:rsidR="00660F7A" w:rsidRPr="00EC20F8" w:rsidRDefault="00660F7A" w:rsidP="00660F7A">
      <w:pPr>
        <w:widowControl w:val="0"/>
        <w:spacing w:line="240" w:lineRule="auto"/>
        <w:ind w:firstLine="567"/>
        <w:jc w:val="both"/>
        <w:rPr>
          <w:rFonts w:ascii="Times New Roman" w:eastAsia="Courier New" w:hAnsi="Times New Roman" w:cs="Times New Roman"/>
          <w:sz w:val="28"/>
          <w:szCs w:val="28"/>
          <w:lang w:eastAsia="ru-RU"/>
        </w:rPr>
      </w:pPr>
      <w:proofErr w:type="gramStart"/>
      <w:r w:rsidRPr="00EC20F8">
        <w:rPr>
          <w:rFonts w:ascii="Times New Roman" w:eastAsia="Courier New" w:hAnsi="Times New Roman" w:cs="Times New Roman"/>
          <w:sz w:val="28"/>
          <w:szCs w:val="28"/>
          <w:lang w:eastAsia="ru-RU"/>
        </w:rPr>
        <w:t>Планируется начать строительство объездной дороги от Петропавловского шоссе до жилого района «</w:t>
      </w:r>
      <w:proofErr w:type="spellStart"/>
      <w:r w:rsidRPr="00EC20F8">
        <w:rPr>
          <w:rFonts w:ascii="Times New Roman" w:eastAsia="Courier New" w:hAnsi="Times New Roman" w:cs="Times New Roman"/>
          <w:sz w:val="28"/>
          <w:szCs w:val="28"/>
          <w:lang w:eastAsia="ru-RU"/>
        </w:rPr>
        <w:t>Северо-Восток</w:t>
      </w:r>
      <w:proofErr w:type="spellEnd"/>
      <w:r w:rsidRPr="00EC20F8">
        <w:rPr>
          <w:rFonts w:ascii="Times New Roman" w:eastAsia="Courier New" w:hAnsi="Times New Roman" w:cs="Times New Roman"/>
          <w:sz w:val="28"/>
          <w:szCs w:val="28"/>
          <w:lang w:eastAsia="ru-RU"/>
        </w:rPr>
        <w:t>»)  (1 этап - от Петропавловского шоссе до улицы Солнечная, период строительства 2014-2017 год);  дороги общегородского значения улица Ларина - проспект Циолковского (в 2016 году);  магистрали общегородского значения в районе 10 км - Сероглазк</w:t>
      </w:r>
      <w:r w:rsidR="00275612" w:rsidRPr="00EC20F8">
        <w:rPr>
          <w:rFonts w:ascii="Times New Roman" w:eastAsia="Courier New" w:hAnsi="Times New Roman" w:cs="Times New Roman"/>
          <w:sz w:val="28"/>
          <w:szCs w:val="28"/>
          <w:lang w:eastAsia="ru-RU"/>
        </w:rPr>
        <w:t>а - 8 (период 2015-2016 годы);</w:t>
      </w:r>
      <w:proofErr w:type="gramEnd"/>
      <w:r w:rsidR="00275612" w:rsidRPr="00EC20F8">
        <w:rPr>
          <w:rFonts w:ascii="Times New Roman" w:eastAsia="Courier New" w:hAnsi="Times New Roman" w:cs="Times New Roman"/>
          <w:sz w:val="28"/>
          <w:szCs w:val="28"/>
          <w:lang w:eastAsia="ru-RU"/>
        </w:rPr>
        <w:t xml:space="preserve"> </w:t>
      </w:r>
      <w:r w:rsidRPr="00EC20F8">
        <w:rPr>
          <w:rFonts w:ascii="Times New Roman" w:eastAsia="Courier New" w:hAnsi="Times New Roman" w:cs="Times New Roman"/>
          <w:sz w:val="28"/>
          <w:szCs w:val="28"/>
          <w:lang w:eastAsia="ru-RU"/>
        </w:rPr>
        <w:t xml:space="preserve">дороги общегородского значения по улице </w:t>
      </w:r>
      <w:proofErr w:type="spellStart"/>
      <w:r w:rsidRPr="00EC20F8">
        <w:rPr>
          <w:rFonts w:ascii="Times New Roman" w:eastAsia="Courier New" w:hAnsi="Times New Roman" w:cs="Times New Roman"/>
          <w:sz w:val="28"/>
          <w:szCs w:val="28"/>
          <w:lang w:eastAsia="ru-RU"/>
        </w:rPr>
        <w:t>Дальная</w:t>
      </w:r>
      <w:proofErr w:type="spellEnd"/>
      <w:r w:rsidRPr="00EC20F8">
        <w:rPr>
          <w:rFonts w:ascii="Times New Roman" w:eastAsia="Courier New" w:hAnsi="Times New Roman" w:cs="Times New Roman"/>
          <w:sz w:val="28"/>
          <w:szCs w:val="28"/>
          <w:lang w:eastAsia="ru-RU"/>
        </w:rPr>
        <w:t xml:space="preserve"> (от остановки «Конечная» до Дома ветеранов) (период 2015-2016 годы); дороги общегородского значения по проспекту </w:t>
      </w:r>
      <w:proofErr w:type="spellStart"/>
      <w:r w:rsidRPr="00EC20F8">
        <w:rPr>
          <w:rFonts w:ascii="Times New Roman" w:eastAsia="Courier New" w:hAnsi="Times New Roman" w:cs="Times New Roman"/>
          <w:sz w:val="28"/>
          <w:szCs w:val="28"/>
          <w:lang w:eastAsia="ru-RU"/>
        </w:rPr>
        <w:t>Таранца</w:t>
      </w:r>
      <w:proofErr w:type="spellEnd"/>
      <w:r w:rsidRPr="00EC20F8">
        <w:rPr>
          <w:rFonts w:ascii="Times New Roman" w:eastAsia="Courier New" w:hAnsi="Times New Roman" w:cs="Times New Roman"/>
          <w:sz w:val="28"/>
          <w:szCs w:val="28"/>
          <w:lang w:eastAsia="ru-RU"/>
        </w:rPr>
        <w:t xml:space="preserve"> с устрой</w:t>
      </w:r>
      <w:r w:rsidR="00275612" w:rsidRPr="00EC20F8">
        <w:rPr>
          <w:rFonts w:ascii="Times New Roman" w:eastAsia="Courier New" w:hAnsi="Times New Roman" w:cs="Times New Roman"/>
          <w:sz w:val="28"/>
          <w:szCs w:val="28"/>
          <w:lang w:eastAsia="ru-RU"/>
        </w:rPr>
        <w:t xml:space="preserve">ством транспортной развязки и </w:t>
      </w:r>
      <w:r w:rsidRPr="00EC20F8">
        <w:rPr>
          <w:rFonts w:ascii="Times New Roman" w:eastAsia="Courier New" w:hAnsi="Times New Roman" w:cs="Times New Roman"/>
          <w:sz w:val="28"/>
          <w:szCs w:val="28"/>
          <w:lang w:eastAsia="ru-RU"/>
        </w:rPr>
        <w:t>водопропускными сооруж</w:t>
      </w:r>
      <w:r w:rsidR="00275612" w:rsidRPr="00EC20F8">
        <w:rPr>
          <w:rFonts w:ascii="Times New Roman" w:eastAsia="Courier New" w:hAnsi="Times New Roman" w:cs="Times New Roman"/>
          <w:sz w:val="28"/>
          <w:szCs w:val="28"/>
          <w:lang w:eastAsia="ru-RU"/>
        </w:rPr>
        <w:t xml:space="preserve">ениями (период 2015-2016годы); </w:t>
      </w:r>
      <w:r w:rsidRPr="00EC20F8">
        <w:rPr>
          <w:rFonts w:ascii="Times New Roman" w:eastAsia="Courier New" w:hAnsi="Times New Roman" w:cs="Times New Roman"/>
          <w:sz w:val="28"/>
          <w:szCs w:val="28"/>
          <w:lang w:eastAsia="ru-RU"/>
        </w:rPr>
        <w:t>дороги районного значения по улице Топоркова с прилегающими внутриквартальными проездами (в 2016 году);  дороги общего пользования  местного значения по ул. Ленинградская - ул</w:t>
      </w:r>
      <w:proofErr w:type="gramStart"/>
      <w:r w:rsidRPr="00EC20F8">
        <w:rPr>
          <w:rFonts w:ascii="Times New Roman" w:eastAsia="Courier New" w:hAnsi="Times New Roman" w:cs="Times New Roman"/>
          <w:sz w:val="28"/>
          <w:szCs w:val="28"/>
          <w:lang w:eastAsia="ru-RU"/>
        </w:rPr>
        <w:t>.Н</w:t>
      </w:r>
      <w:proofErr w:type="gramEnd"/>
      <w:r w:rsidRPr="00EC20F8">
        <w:rPr>
          <w:rFonts w:ascii="Times New Roman" w:eastAsia="Courier New" w:hAnsi="Times New Roman" w:cs="Times New Roman"/>
          <w:sz w:val="28"/>
          <w:szCs w:val="28"/>
          <w:lang w:eastAsia="ru-RU"/>
        </w:rPr>
        <w:t xml:space="preserve">абережная (период 2015-2016 годы); дороги общего пользования местного значения по улице Академика </w:t>
      </w:r>
      <w:proofErr w:type="spellStart"/>
      <w:proofErr w:type="gramStart"/>
      <w:r w:rsidRPr="00EC20F8">
        <w:rPr>
          <w:rFonts w:ascii="Times New Roman" w:eastAsia="Courier New" w:hAnsi="Times New Roman" w:cs="Times New Roman"/>
          <w:sz w:val="28"/>
          <w:szCs w:val="28"/>
          <w:lang w:eastAsia="ru-RU"/>
        </w:rPr>
        <w:t>Королева-Космический</w:t>
      </w:r>
      <w:proofErr w:type="spellEnd"/>
      <w:proofErr w:type="gramEnd"/>
      <w:r w:rsidRPr="00EC20F8">
        <w:rPr>
          <w:rFonts w:ascii="Times New Roman" w:eastAsia="Courier New" w:hAnsi="Times New Roman" w:cs="Times New Roman"/>
          <w:sz w:val="28"/>
          <w:szCs w:val="28"/>
          <w:lang w:eastAsia="ru-RU"/>
        </w:rPr>
        <w:t xml:space="preserve"> проезд-проспект Циолковского (период 2015-2016 годы).</w:t>
      </w:r>
    </w:p>
    <w:p w:rsidR="00660F7A" w:rsidRPr="00EC20F8" w:rsidRDefault="00660F7A" w:rsidP="00660F7A">
      <w:pPr>
        <w:widowControl w:val="0"/>
        <w:spacing w:line="240" w:lineRule="auto"/>
        <w:ind w:firstLine="567"/>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Будет продолжена реконструкция и капитальный ремонт магистральной улицы общего</w:t>
      </w:r>
      <w:r w:rsidR="00275612" w:rsidRPr="00EC20F8">
        <w:rPr>
          <w:rFonts w:ascii="Times New Roman" w:eastAsia="Courier New" w:hAnsi="Times New Roman" w:cs="Times New Roman"/>
          <w:sz w:val="28"/>
          <w:szCs w:val="28"/>
          <w:lang w:eastAsia="ru-RU"/>
        </w:rPr>
        <w:t xml:space="preserve">родского и районного значения ул. </w:t>
      </w:r>
      <w:proofErr w:type="spellStart"/>
      <w:r w:rsidR="00275612" w:rsidRPr="00EC20F8">
        <w:rPr>
          <w:rFonts w:ascii="Times New Roman" w:eastAsia="Courier New" w:hAnsi="Times New Roman" w:cs="Times New Roman"/>
          <w:sz w:val="28"/>
          <w:szCs w:val="28"/>
          <w:lang w:eastAsia="ru-RU"/>
        </w:rPr>
        <w:t>Вулканна</w:t>
      </w:r>
      <w:proofErr w:type="gramStart"/>
      <w:r w:rsidR="00275612" w:rsidRPr="00EC20F8">
        <w:rPr>
          <w:rFonts w:ascii="Times New Roman" w:eastAsia="Courier New" w:hAnsi="Times New Roman" w:cs="Times New Roman"/>
          <w:sz w:val="28"/>
          <w:szCs w:val="28"/>
          <w:lang w:eastAsia="ru-RU"/>
        </w:rPr>
        <w:t>я</w:t>
      </w:r>
      <w:proofErr w:type="spellEnd"/>
      <w:r w:rsidR="00275612" w:rsidRPr="00EC20F8">
        <w:rPr>
          <w:rFonts w:ascii="Times New Roman" w:eastAsia="Courier New" w:hAnsi="Times New Roman" w:cs="Times New Roman"/>
          <w:sz w:val="28"/>
          <w:szCs w:val="28"/>
          <w:lang w:eastAsia="ru-RU"/>
        </w:rPr>
        <w:t>-</w:t>
      </w:r>
      <w:proofErr w:type="gramEnd"/>
      <w:r w:rsidR="00275612" w:rsidRPr="00EC20F8">
        <w:rPr>
          <w:rFonts w:ascii="Times New Roman" w:eastAsia="Courier New" w:hAnsi="Times New Roman" w:cs="Times New Roman"/>
          <w:sz w:val="28"/>
          <w:szCs w:val="28"/>
          <w:lang w:eastAsia="ru-RU"/>
        </w:rPr>
        <w:t xml:space="preserve"> ул. Чубарова </w:t>
      </w:r>
      <w:r w:rsidRPr="00EC20F8">
        <w:rPr>
          <w:rFonts w:ascii="Times New Roman" w:eastAsia="Courier New" w:hAnsi="Times New Roman" w:cs="Times New Roman"/>
          <w:sz w:val="28"/>
          <w:szCs w:val="28"/>
          <w:lang w:eastAsia="ru-RU"/>
        </w:rPr>
        <w:t xml:space="preserve">(от поста ГИБДД до пересечения с пр. </w:t>
      </w:r>
      <w:proofErr w:type="gramStart"/>
      <w:r w:rsidRPr="00EC20F8">
        <w:rPr>
          <w:rFonts w:ascii="Times New Roman" w:eastAsia="Courier New" w:hAnsi="Times New Roman" w:cs="Times New Roman"/>
          <w:sz w:val="28"/>
          <w:szCs w:val="28"/>
          <w:lang w:eastAsia="ru-RU"/>
        </w:rPr>
        <w:t xml:space="preserve">Победы) в г. Петропавловске-Камчатском (2015 год), а также будет начата реконструкция  дороги местного значения от ул. Автомобилистов до п. Сероглазка Петропавловск-Камчатского городского округа (в 2016 году); реконструкция автомобильной дороги общего пользования местного значения Ленинская </w:t>
      </w:r>
      <w:proofErr w:type="spellStart"/>
      <w:r w:rsidRPr="00EC20F8">
        <w:rPr>
          <w:rFonts w:ascii="Times New Roman" w:eastAsia="Courier New" w:hAnsi="Times New Roman" w:cs="Times New Roman"/>
          <w:sz w:val="28"/>
          <w:szCs w:val="28"/>
          <w:lang w:eastAsia="ru-RU"/>
        </w:rPr>
        <w:t>улица-Вокзальная</w:t>
      </w:r>
      <w:proofErr w:type="spellEnd"/>
      <w:r w:rsidRPr="00EC20F8">
        <w:rPr>
          <w:rFonts w:ascii="Times New Roman" w:eastAsia="Courier New" w:hAnsi="Times New Roman" w:cs="Times New Roman"/>
          <w:sz w:val="28"/>
          <w:szCs w:val="28"/>
          <w:lang w:eastAsia="ru-RU"/>
        </w:rPr>
        <w:t xml:space="preserve"> площадь в городе Петропавловске-Камчатском (период 2015 год).</w:t>
      </w:r>
      <w:proofErr w:type="gramEnd"/>
    </w:p>
    <w:p w:rsidR="00660F7A" w:rsidRPr="00EC20F8" w:rsidRDefault="00660F7A" w:rsidP="00660F7A">
      <w:pPr>
        <w:tabs>
          <w:tab w:val="left" w:pos="720"/>
        </w:tabs>
        <w:autoSpaceDE w:val="0"/>
        <w:autoSpaceDN w:val="0"/>
        <w:adjustRightInd w:val="0"/>
        <w:spacing w:line="240" w:lineRule="auto"/>
        <w:ind w:firstLine="709"/>
        <w:jc w:val="both"/>
        <w:rPr>
          <w:rFonts w:ascii="Times New Roman" w:eastAsia="Times New Roman" w:hAnsi="Times New Roman" w:cs="Times New Roman"/>
          <w:sz w:val="28"/>
          <w:szCs w:val="28"/>
          <w:lang w:eastAsia="ru-RU"/>
        </w:rPr>
      </w:pPr>
      <w:r w:rsidRPr="00EC20F8">
        <w:rPr>
          <w:rFonts w:ascii="Times New Roman" w:eastAsia="Times New Roman" w:hAnsi="Times New Roman" w:cs="Times New Roman"/>
          <w:sz w:val="28"/>
          <w:szCs w:val="28"/>
          <w:lang w:eastAsia="ru-RU"/>
        </w:rPr>
        <w:t xml:space="preserve">Основой перспективного строительства и </w:t>
      </w:r>
      <w:proofErr w:type="gramStart"/>
      <w:r w:rsidRPr="00EC20F8">
        <w:rPr>
          <w:rFonts w:ascii="Times New Roman" w:eastAsia="Times New Roman" w:hAnsi="Times New Roman" w:cs="Times New Roman"/>
          <w:sz w:val="28"/>
          <w:szCs w:val="28"/>
          <w:lang w:eastAsia="ru-RU"/>
        </w:rPr>
        <w:t>реконструкции</w:t>
      </w:r>
      <w:proofErr w:type="gramEnd"/>
      <w:r w:rsidRPr="00EC20F8">
        <w:rPr>
          <w:rFonts w:ascii="Times New Roman" w:eastAsia="Times New Roman" w:hAnsi="Times New Roman" w:cs="Times New Roman"/>
          <w:sz w:val="28"/>
          <w:szCs w:val="28"/>
          <w:lang w:eastAsia="ru-RU"/>
        </w:rPr>
        <w:t xml:space="preserve"> автомобильных дорог общего пользования является Генеральный план Петропавловск-Камчатского городского округа, программы, предусматривающие реализацию мероприятий по строительству жилья, объектов социального и культурного значения, инженерной инфраструктуры в части исполнения приоритетного национального проекта «Доступное            и комфортное жилье - гражданам России». </w:t>
      </w:r>
      <w:r w:rsidRPr="00EC20F8">
        <w:rPr>
          <w:rFonts w:ascii="Times New Roman" w:eastAsia="Times New Roman" w:hAnsi="Times New Roman" w:cs="Arial"/>
          <w:sz w:val="28"/>
          <w:szCs w:val="28"/>
          <w:lang w:eastAsia="ru-RU"/>
        </w:rPr>
        <w:t xml:space="preserve"> </w:t>
      </w:r>
      <w:r w:rsidRPr="00EC20F8">
        <w:rPr>
          <w:rFonts w:ascii="Times New Roman" w:eastAsia="Times New Roman" w:hAnsi="Times New Roman" w:cs="Times New Roman"/>
          <w:sz w:val="28"/>
          <w:szCs w:val="28"/>
          <w:lang w:eastAsia="ru-RU"/>
        </w:rPr>
        <w:t xml:space="preserve">Для их реализации необходимо запроектировать и построить ряд новых автомобильных дорог общего пользования и дорожных сооружений: в микрорайоне </w:t>
      </w:r>
      <w:proofErr w:type="spellStart"/>
      <w:r w:rsidRPr="00EC20F8">
        <w:rPr>
          <w:rFonts w:ascii="Times New Roman" w:eastAsia="Times New Roman" w:hAnsi="Times New Roman" w:cs="Times New Roman"/>
          <w:sz w:val="28"/>
          <w:szCs w:val="28"/>
          <w:lang w:eastAsia="ru-RU"/>
        </w:rPr>
        <w:t>Северо-Восток</w:t>
      </w:r>
      <w:proofErr w:type="spellEnd"/>
      <w:r w:rsidRPr="00EC20F8">
        <w:rPr>
          <w:rFonts w:ascii="Times New Roman" w:eastAsia="Times New Roman" w:hAnsi="Times New Roman" w:cs="Times New Roman"/>
          <w:sz w:val="28"/>
          <w:szCs w:val="28"/>
          <w:lang w:eastAsia="ru-RU"/>
        </w:rPr>
        <w:t xml:space="preserve">,              где ведется массовое строительство многоквартирных жилых домов;                   в районе Восточного шоссе, где планируется малоэтажная застройка;                от автостанции 10 км до поселка Сероглазка, что позволит значительно улучшить транспортную инфраструктуру существующей застройки по улицам Флотской, Якорной  и  перспективного района в 110 квартале,                  а также реконструировать улицы Автомобилистов, </w:t>
      </w:r>
      <w:proofErr w:type="spellStart"/>
      <w:r w:rsidRPr="00EC20F8">
        <w:rPr>
          <w:rFonts w:ascii="Times New Roman" w:eastAsia="Times New Roman" w:hAnsi="Times New Roman" w:cs="Times New Roman"/>
          <w:sz w:val="28"/>
          <w:szCs w:val="28"/>
          <w:lang w:eastAsia="ru-RU"/>
        </w:rPr>
        <w:t>Вулканную</w:t>
      </w:r>
      <w:proofErr w:type="spellEnd"/>
      <w:r w:rsidRPr="00EC20F8">
        <w:rPr>
          <w:rFonts w:ascii="Times New Roman" w:eastAsia="Times New Roman" w:hAnsi="Times New Roman" w:cs="Times New Roman"/>
          <w:sz w:val="28"/>
          <w:szCs w:val="28"/>
          <w:lang w:eastAsia="ru-RU"/>
        </w:rPr>
        <w:t>, Чубарова.</w:t>
      </w:r>
    </w:p>
    <w:p w:rsidR="00660F7A" w:rsidRPr="00EC20F8" w:rsidRDefault="00660F7A" w:rsidP="00660F7A">
      <w:pPr>
        <w:widowControl w:val="0"/>
        <w:spacing w:line="240" w:lineRule="auto"/>
        <w:ind w:firstLine="709"/>
        <w:contextualSpacing/>
        <w:jc w:val="both"/>
        <w:rPr>
          <w:rFonts w:ascii="Times New Roman" w:eastAsia="Times New Roman" w:hAnsi="Times New Roman" w:cs="Times New Roman"/>
          <w:sz w:val="28"/>
          <w:szCs w:val="28"/>
          <w:lang w:eastAsia="ru-RU"/>
        </w:rPr>
      </w:pPr>
    </w:p>
    <w:p w:rsidR="00660F7A" w:rsidRPr="00EC20F8" w:rsidRDefault="00660F7A" w:rsidP="00660F7A">
      <w:pPr>
        <w:autoSpaceDE w:val="0"/>
        <w:autoSpaceDN w:val="0"/>
        <w:adjustRightInd w:val="0"/>
        <w:spacing w:line="240" w:lineRule="auto"/>
        <w:jc w:val="center"/>
        <w:outlineLvl w:val="0"/>
        <w:rPr>
          <w:rFonts w:ascii="Times New Roman" w:hAnsi="Times New Roman" w:cs="Times New Roman"/>
          <w:sz w:val="28"/>
          <w:szCs w:val="28"/>
        </w:rPr>
      </w:pPr>
      <w:bookmarkStart w:id="156" w:name="_Toc368988926"/>
      <w:bookmarkStart w:id="157" w:name="_Toc368930868"/>
      <w:bookmarkStart w:id="158" w:name="_Toc368930244"/>
      <w:bookmarkStart w:id="159" w:name="_Toc400529693"/>
      <w:r w:rsidRPr="00EC20F8">
        <w:rPr>
          <w:rFonts w:ascii="Times New Roman" w:hAnsi="Times New Roman" w:cs="Times New Roman"/>
          <w:sz w:val="28"/>
          <w:szCs w:val="28"/>
        </w:rPr>
        <w:t>22.2. Система общественного транспорта</w:t>
      </w:r>
      <w:bookmarkEnd w:id="156"/>
      <w:bookmarkEnd w:id="157"/>
      <w:bookmarkEnd w:id="158"/>
      <w:bookmarkEnd w:id="159"/>
    </w:p>
    <w:p w:rsidR="00660F7A" w:rsidRPr="00EC20F8" w:rsidRDefault="00660F7A" w:rsidP="00660F7A">
      <w:pPr>
        <w:widowControl w:val="0"/>
        <w:spacing w:line="240" w:lineRule="auto"/>
        <w:rPr>
          <w:rFonts w:ascii="Courier New" w:eastAsia="Courier New" w:hAnsi="Courier New" w:cs="Courier New"/>
          <w:sz w:val="24"/>
          <w:szCs w:val="24"/>
        </w:rPr>
      </w:pPr>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 xml:space="preserve">Регулярные пассажирские перевозки в городском округе, на основании заключенных договоров, осуществляют 17 предприятий, которые обслуживают маршрутную сеть общественного транспорта с использованием единого проездного билета и предоставлением услуг льготной категории пассажиров. В настоящее время в городском округе действует 37 автобусных маршрутов. Действующая маршрутная сеть полностью удовлетворяет  потребности населения в услугах пассажирского транспорта, обеспечивая сообщение с удалёнными районами. </w:t>
      </w:r>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 xml:space="preserve">Количество транспортных средств (автобусов), осуществляющих </w:t>
      </w:r>
      <w:proofErr w:type="spellStart"/>
      <w:r w:rsidRPr="00EC20F8">
        <w:rPr>
          <w:rFonts w:ascii="Times New Roman" w:eastAsia="Courier New" w:hAnsi="Times New Roman" w:cs="Times New Roman"/>
          <w:sz w:val="28"/>
          <w:szCs w:val="28"/>
          <w:lang w:eastAsia="ru-RU"/>
        </w:rPr>
        <w:t>пассажироперевозки</w:t>
      </w:r>
      <w:proofErr w:type="spellEnd"/>
      <w:r w:rsidRPr="00EC20F8">
        <w:rPr>
          <w:rFonts w:ascii="Times New Roman" w:eastAsia="Courier New" w:hAnsi="Times New Roman" w:cs="Times New Roman"/>
          <w:sz w:val="28"/>
          <w:szCs w:val="28"/>
          <w:lang w:eastAsia="ru-RU"/>
        </w:rPr>
        <w:t xml:space="preserve"> – 194 единиц. В сфере пассажироперевозок создан высокий уровень конкуренции  путём привлечения частных перевозчиков, обслуживающих регулярные городские маршруты.</w:t>
      </w:r>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 xml:space="preserve">Подавляющее большинство пассажирского транспорта оборудовано аппаратурой спутниковой навигации ГЛОНАСС. Это позволило запустить в работу новую систему отслеживания маршрутов «Мой автобус». Система позволяет отследить нужный автобус и время его прибытия на остановку. Данная система пока работает в тестовом режиме и имеет некоторые недочёты, поэтому в дальнейшем будут проводиться работы по её совершенствованию. </w:t>
      </w:r>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proofErr w:type="gramStart"/>
      <w:r w:rsidRPr="00EC20F8">
        <w:rPr>
          <w:rFonts w:ascii="Times New Roman" w:eastAsia="Courier New" w:hAnsi="Times New Roman" w:cs="Times New Roman"/>
          <w:sz w:val="28"/>
          <w:szCs w:val="28"/>
          <w:lang w:eastAsia="ru-RU"/>
        </w:rPr>
        <w:t>В 2013 году объём реализации проездных билетов остался практически на уровне 2012 года (467 217 штук) и составил 467 038 штук, из них 266 475 билет продан категориям граждан, меры социальной поддержки которых производятся за счёт средств федерального и краевого бюджетов, 73 748 билетов – категориям граждан, компенсация льготной стоимости билета которых производится за счёт средств бюджета Петропавловск-Камчатского городского округа, 126</w:t>
      </w:r>
      <w:proofErr w:type="gramEnd"/>
      <w:r w:rsidRPr="00EC20F8">
        <w:rPr>
          <w:rFonts w:ascii="Times New Roman" w:eastAsia="Courier New" w:hAnsi="Times New Roman" w:cs="Times New Roman"/>
          <w:sz w:val="28"/>
          <w:szCs w:val="28"/>
          <w:lang w:eastAsia="ru-RU"/>
        </w:rPr>
        <w:t> 815 билетов реализовано за полную стоимость.</w:t>
      </w:r>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proofErr w:type="gramStart"/>
      <w:r w:rsidRPr="00EC20F8">
        <w:rPr>
          <w:rFonts w:ascii="Times New Roman" w:eastAsia="Courier New" w:hAnsi="Times New Roman" w:cs="Times New Roman"/>
          <w:sz w:val="28"/>
          <w:szCs w:val="28"/>
          <w:lang w:eastAsia="ru-RU"/>
        </w:rPr>
        <w:t xml:space="preserve">Обновление автопарка перевозчиков в соответствии с требованиями экологического стандарта, регулирующий содержание вредных веществ в выхлопных газах «Евро 4», идёт достаточно медленными темпами, что сказывается на качестве предоставляемых услуг и безопасности пассажиров, а также на снижении пассажирооборота. </w:t>
      </w:r>
      <w:proofErr w:type="gramEnd"/>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 xml:space="preserve">В целях </w:t>
      </w:r>
      <w:proofErr w:type="gramStart"/>
      <w:r w:rsidRPr="00EC20F8">
        <w:rPr>
          <w:rFonts w:ascii="Times New Roman" w:eastAsia="Courier New" w:hAnsi="Times New Roman" w:cs="Times New Roman"/>
          <w:sz w:val="28"/>
          <w:szCs w:val="28"/>
          <w:lang w:eastAsia="ru-RU"/>
        </w:rPr>
        <w:t>стимулирования обновления парка транспортных средств</w:t>
      </w:r>
      <w:proofErr w:type="gramEnd"/>
      <w:r w:rsidRPr="00EC20F8">
        <w:rPr>
          <w:rFonts w:ascii="Times New Roman" w:eastAsia="Courier New" w:hAnsi="Times New Roman" w:cs="Times New Roman"/>
          <w:sz w:val="28"/>
          <w:szCs w:val="28"/>
          <w:lang w:eastAsia="ru-RU"/>
        </w:rPr>
        <w:t xml:space="preserve"> в 2014 году планируется </w:t>
      </w:r>
      <w:r w:rsidR="00F842E7" w:rsidRPr="00EC20F8">
        <w:rPr>
          <w:rFonts w:ascii="Times New Roman" w:eastAsia="Courier New" w:hAnsi="Times New Roman" w:cs="Times New Roman"/>
          <w:sz w:val="28"/>
          <w:szCs w:val="28"/>
          <w:lang w:eastAsia="ru-RU"/>
        </w:rPr>
        <w:t>заключить контракты на приобретение 6</w:t>
      </w:r>
      <w:r w:rsidRPr="00EC20F8">
        <w:rPr>
          <w:rFonts w:ascii="Times New Roman" w:eastAsia="Courier New" w:hAnsi="Times New Roman" w:cs="Times New Roman"/>
          <w:sz w:val="28"/>
          <w:szCs w:val="28"/>
          <w:lang w:eastAsia="ru-RU"/>
        </w:rPr>
        <w:t xml:space="preserve"> новых автобусов</w:t>
      </w:r>
      <w:r w:rsidR="00F842E7" w:rsidRPr="00EC20F8">
        <w:rPr>
          <w:rFonts w:ascii="Times New Roman" w:eastAsia="Courier New" w:hAnsi="Times New Roman" w:cs="Times New Roman"/>
          <w:sz w:val="28"/>
          <w:szCs w:val="28"/>
          <w:lang w:eastAsia="ru-RU"/>
        </w:rPr>
        <w:t xml:space="preserve"> для городских пассажироперевозок и </w:t>
      </w:r>
      <w:r w:rsidRPr="00EC20F8">
        <w:rPr>
          <w:rFonts w:ascii="Times New Roman" w:eastAsia="Courier New" w:hAnsi="Times New Roman" w:cs="Times New Roman"/>
          <w:sz w:val="28"/>
          <w:szCs w:val="28"/>
          <w:lang w:eastAsia="ru-RU"/>
        </w:rPr>
        <w:t xml:space="preserve">один </w:t>
      </w:r>
      <w:r w:rsidR="00F842E7" w:rsidRPr="00EC20F8">
        <w:rPr>
          <w:rFonts w:ascii="Times New Roman" w:eastAsia="Courier New" w:hAnsi="Times New Roman" w:cs="Times New Roman"/>
          <w:sz w:val="28"/>
          <w:szCs w:val="28"/>
          <w:lang w:eastAsia="ru-RU"/>
        </w:rPr>
        <w:t xml:space="preserve">- </w:t>
      </w:r>
      <w:r w:rsidRPr="00EC20F8">
        <w:rPr>
          <w:rFonts w:ascii="Times New Roman" w:eastAsia="Times New Roman" w:hAnsi="Times New Roman" w:cs="Times New Roman"/>
          <w:sz w:val="28"/>
          <w:szCs w:val="28"/>
          <w:lang w:eastAsia="ru-RU"/>
        </w:rPr>
        <w:t xml:space="preserve">для перевозки </w:t>
      </w:r>
      <w:proofErr w:type="spellStart"/>
      <w:r w:rsidRPr="00EC20F8">
        <w:rPr>
          <w:rFonts w:ascii="Times New Roman" w:eastAsia="Times New Roman" w:hAnsi="Times New Roman" w:cs="Times New Roman"/>
          <w:sz w:val="28"/>
          <w:szCs w:val="28"/>
          <w:lang w:eastAsia="ru-RU"/>
        </w:rPr>
        <w:t>маломобильных</w:t>
      </w:r>
      <w:proofErr w:type="spellEnd"/>
      <w:r w:rsidRPr="00EC20F8">
        <w:rPr>
          <w:rFonts w:ascii="Times New Roman" w:eastAsia="Times New Roman" w:hAnsi="Times New Roman" w:cs="Times New Roman"/>
          <w:sz w:val="28"/>
          <w:szCs w:val="28"/>
          <w:lang w:eastAsia="ru-RU"/>
        </w:rPr>
        <w:t xml:space="preserve"> групп населения. </w:t>
      </w:r>
      <w:proofErr w:type="gramStart"/>
      <w:r w:rsidRPr="00EC20F8">
        <w:rPr>
          <w:rFonts w:ascii="Times New Roman" w:eastAsia="Times New Roman" w:hAnsi="Times New Roman" w:cs="Times New Roman"/>
          <w:sz w:val="28"/>
          <w:szCs w:val="28"/>
          <w:lang w:eastAsia="ru-RU"/>
        </w:rPr>
        <w:t xml:space="preserve">Мероприятие запланировано в </w:t>
      </w:r>
      <w:r w:rsidRPr="00EC20F8">
        <w:rPr>
          <w:rFonts w:ascii="Times New Roman" w:eastAsia="Courier New" w:hAnsi="Times New Roman" w:cs="Times New Roman"/>
          <w:sz w:val="28"/>
          <w:szCs w:val="28"/>
          <w:lang w:eastAsia="ru-RU"/>
        </w:rPr>
        <w:t>рамках реализации муниципальной программы «Развитие транспортной системы Петропавловск-Камчатского городского округа»</w:t>
      </w:r>
      <w:r w:rsidRPr="00EC20F8">
        <w:rPr>
          <w:rFonts w:ascii="Courier New" w:eastAsia="Courier New" w:hAnsi="Courier New" w:cs="Courier New"/>
          <w:sz w:val="24"/>
          <w:szCs w:val="24"/>
          <w:lang w:eastAsia="ru-RU"/>
        </w:rPr>
        <w:t xml:space="preserve"> </w:t>
      </w:r>
      <w:r w:rsidRPr="00EC20F8">
        <w:rPr>
          <w:rFonts w:ascii="Times New Roman" w:eastAsia="Courier New" w:hAnsi="Times New Roman" w:cs="Times New Roman"/>
          <w:sz w:val="28"/>
          <w:szCs w:val="28"/>
          <w:lang w:eastAsia="ru-RU"/>
        </w:rPr>
        <w:t>(подпрограмма 2 «Развитие пассажирского автомобильного транспорта в Петропавловск-Камчатском городском округе».</w:t>
      </w:r>
      <w:proofErr w:type="gramEnd"/>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Для разгрузки площади действующей автостанции в районе 10 км по проспекту Победы планируется строительство площадки для отстоя пассажирского транспорта. На территории стоянки будут созданы комфортные условия для отдыха водителей между рейсами, данный фактор позитивно отразится на безопасности движения автотранспорта и благоприятно скажется на снижении транспортных потоков городском округе.</w:t>
      </w:r>
    </w:p>
    <w:p w:rsidR="00660F7A" w:rsidRPr="00EC20F8" w:rsidRDefault="00660F7A" w:rsidP="00660F7A">
      <w:pPr>
        <w:widowControl w:val="0"/>
        <w:spacing w:line="240" w:lineRule="auto"/>
        <w:ind w:firstLine="709"/>
        <w:contextualSpacing/>
        <w:jc w:val="both"/>
        <w:rPr>
          <w:rFonts w:ascii="Times New Roman" w:eastAsia="Times New Roman" w:hAnsi="Times New Roman" w:cs="Times New Roman"/>
          <w:sz w:val="28"/>
          <w:szCs w:val="28"/>
          <w:lang w:eastAsia="ru-RU"/>
        </w:rPr>
      </w:pPr>
      <w:proofErr w:type="gramStart"/>
      <w:r w:rsidRPr="00EC20F8">
        <w:rPr>
          <w:rFonts w:ascii="Times New Roman" w:eastAsia="Courier New" w:hAnsi="Times New Roman" w:cs="Times New Roman"/>
          <w:sz w:val="28"/>
          <w:szCs w:val="28"/>
          <w:lang w:eastAsia="ru-RU"/>
        </w:rPr>
        <w:t xml:space="preserve">В целях создания условий для дальнейшего развития системы пассажироперевозок, удовлетворяющей потребностям населения городского округа и повышения эффективности работы транспортной системы администрацией </w:t>
      </w:r>
      <w:proofErr w:type="spellStart"/>
      <w:r w:rsidRPr="00EC20F8">
        <w:rPr>
          <w:rFonts w:ascii="Times New Roman" w:eastAsia="Times New Roman" w:hAnsi="Times New Roman" w:cs="Times New Roman"/>
          <w:sz w:val="28"/>
          <w:szCs w:val="28"/>
          <w:lang w:eastAsia="ru-RU"/>
        </w:rPr>
        <w:t>Петроправловск-Камчатского</w:t>
      </w:r>
      <w:proofErr w:type="spellEnd"/>
      <w:r w:rsidRPr="00EC20F8">
        <w:rPr>
          <w:rFonts w:ascii="Times New Roman" w:eastAsia="Times New Roman" w:hAnsi="Times New Roman" w:cs="Times New Roman"/>
          <w:sz w:val="28"/>
          <w:szCs w:val="28"/>
          <w:lang w:eastAsia="ru-RU"/>
        </w:rPr>
        <w:t xml:space="preserve"> городского округа заключен контракт (с 30.12.2013 по 10.01.2016) на выполнение научно-исследовательской работы «Комплексное развитие транспортной системы </w:t>
      </w:r>
      <w:proofErr w:type="spellStart"/>
      <w:r w:rsidRPr="00EC20F8">
        <w:rPr>
          <w:rFonts w:ascii="Times New Roman" w:eastAsia="Times New Roman" w:hAnsi="Times New Roman" w:cs="Times New Roman"/>
          <w:sz w:val="28"/>
          <w:szCs w:val="28"/>
          <w:lang w:eastAsia="ru-RU"/>
        </w:rPr>
        <w:t>Петроправловск-Камчатского</w:t>
      </w:r>
      <w:proofErr w:type="spellEnd"/>
      <w:r w:rsidRPr="00EC20F8">
        <w:rPr>
          <w:rFonts w:ascii="Times New Roman" w:eastAsia="Times New Roman" w:hAnsi="Times New Roman" w:cs="Times New Roman"/>
          <w:sz w:val="28"/>
          <w:szCs w:val="28"/>
          <w:lang w:eastAsia="ru-RU"/>
        </w:rPr>
        <w:t xml:space="preserve"> городского округа на период до 2020 года».</w:t>
      </w:r>
      <w:proofErr w:type="gramEnd"/>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 xml:space="preserve">Администрация </w:t>
      </w:r>
      <w:proofErr w:type="gramStart"/>
      <w:r w:rsidRPr="00EC20F8">
        <w:rPr>
          <w:rFonts w:ascii="Times New Roman" w:eastAsia="Courier New" w:hAnsi="Times New Roman" w:cs="Times New Roman"/>
          <w:sz w:val="28"/>
          <w:szCs w:val="28"/>
          <w:lang w:eastAsia="ru-RU"/>
        </w:rPr>
        <w:t>Петропавловск-Камчатского</w:t>
      </w:r>
      <w:proofErr w:type="gramEnd"/>
      <w:r w:rsidRPr="00EC20F8">
        <w:rPr>
          <w:rFonts w:ascii="Times New Roman" w:eastAsia="Courier New" w:hAnsi="Times New Roman" w:cs="Times New Roman"/>
          <w:sz w:val="28"/>
          <w:szCs w:val="28"/>
          <w:lang w:eastAsia="ru-RU"/>
        </w:rPr>
        <w:t xml:space="preserve"> городского округа, проводит работу по разработке и внедрению в транспортную сеть электронного проездного билета. Тестовое апробирование системы на отдельных маршрутах запланировано на начало 2015 года, в дальнейшем планируется полностью перейти на электронный проездной, который в свою очередь заменит существующие образцы билетов. </w:t>
      </w:r>
    </w:p>
    <w:p w:rsidR="00660F7A" w:rsidRPr="00EC20F8" w:rsidRDefault="00660F7A" w:rsidP="00660F7A">
      <w:pPr>
        <w:widowControl w:val="0"/>
        <w:spacing w:line="240" w:lineRule="auto"/>
        <w:ind w:firstLine="709"/>
        <w:contextualSpacing/>
        <w:jc w:val="both"/>
        <w:rPr>
          <w:rFonts w:ascii="Times New Roman" w:eastAsia="Times New Roman" w:hAnsi="Times New Roman" w:cs="Times New Roman"/>
          <w:sz w:val="28"/>
          <w:szCs w:val="28"/>
          <w:lang w:eastAsia="ru-RU"/>
        </w:rPr>
      </w:pPr>
    </w:p>
    <w:p w:rsidR="00660F7A" w:rsidRPr="00EC20F8" w:rsidRDefault="00660F7A" w:rsidP="00660F7A">
      <w:pPr>
        <w:autoSpaceDE w:val="0"/>
        <w:autoSpaceDN w:val="0"/>
        <w:adjustRightInd w:val="0"/>
        <w:spacing w:line="240" w:lineRule="auto"/>
        <w:jc w:val="center"/>
        <w:outlineLvl w:val="0"/>
        <w:rPr>
          <w:rFonts w:ascii="Times New Roman" w:hAnsi="Times New Roman" w:cs="Times New Roman"/>
          <w:sz w:val="28"/>
          <w:szCs w:val="28"/>
        </w:rPr>
      </w:pPr>
      <w:bookmarkStart w:id="160" w:name="_Toc368988928"/>
      <w:bookmarkStart w:id="161" w:name="_Toc368930870"/>
      <w:bookmarkStart w:id="162" w:name="_Toc368930246"/>
      <w:bookmarkStart w:id="163" w:name="_Toc400529694"/>
      <w:r w:rsidRPr="00EC20F8">
        <w:rPr>
          <w:rFonts w:ascii="Times New Roman" w:hAnsi="Times New Roman" w:cs="Times New Roman"/>
          <w:sz w:val="28"/>
          <w:szCs w:val="28"/>
        </w:rPr>
        <w:t>22.3. Безопасность дорожного движения</w:t>
      </w:r>
      <w:bookmarkEnd w:id="160"/>
      <w:bookmarkEnd w:id="161"/>
      <w:bookmarkEnd w:id="162"/>
      <w:bookmarkEnd w:id="163"/>
    </w:p>
    <w:p w:rsidR="00660F7A" w:rsidRPr="00EC20F8" w:rsidRDefault="00660F7A" w:rsidP="00660F7A">
      <w:pPr>
        <w:widowControl w:val="0"/>
        <w:spacing w:line="240" w:lineRule="auto"/>
        <w:rPr>
          <w:rFonts w:ascii="Courier New" w:eastAsia="Courier New" w:hAnsi="Courier New" w:cs="Courier New"/>
          <w:sz w:val="24"/>
          <w:szCs w:val="24"/>
        </w:rPr>
      </w:pPr>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proofErr w:type="gramStart"/>
      <w:r w:rsidRPr="00EC20F8">
        <w:rPr>
          <w:rFonts w:ascii="Times New Roman" w:eastAsia="Courier New" w:hAnsi="Times New Roman" w:cs="Times New Roman"/>
          <w:sz w:val="28"/>
          <w:szCs w:val="28"/>
          <w:lang w:eastAsia="ru-RU"/>
        </w:rPr>
        <w:t>В 2012 году в Петропавловске-Камчатском было зафиксировано 352 дорожно-транспортных происшествий, что примерно соответствует уровню 2007 года, в связи с этим была усилена работа по обеспечению безопасности дорожного движения в городском округе и в 2013 году этот показатель составил 312 единиц, количество ДТП снизилось на 40 единиц.</w:t>
      </w:r>
      <w:proofErr w:type="gramEnd"/>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 xml:space="preserve">В целях сокращения числа дорожно-транспортных происшествий и ликвидации мест их концентрации в 2013 году реализовывалась долгосрочная муниципальная целевая программа «Организация и безопасность дорожного движения в </w:t>
      </w:r>
      <w:proofErr w:type="gramStart"/>
      <w:r w:rsidRPr="00EC20F8">
        <w:rPr>
          <w:rFonts w:ascii="Times New Roman" w:eastAsia="Courier New" w:hAnsi="Times New Roman" w:cs="Times New Roman"/>
          <w:sz w:val="28"/>
          <w:szCs w:val="28"/>
          <w:lang w:eastAsia="ru-RU"/>
        </w:rPr>
        <w:t>Петропавловск-Камчатском</w:t>
      </w:r>
      <w:proofErr w:type="gramEnd"/>
      <w:r w:rsidRPr="00EC20F8">
        <w:rPr>
          <w:rFonts w:ascii="Times New Roman" w:eastAsia="Courier New" w:hAnsi="Times New Roman" w:cs="Times New Roman"/>
          <w:sz w:val="28"/>
          <w:szCs w:val="28"/>
          <w:lang w:eastAsia="ru-RU"/>
        </w:rPr>
        <w:t xml:space="preserve"> городском округе на 2013-2015 годы» В 2013 году общий объем финансирования подпрограммы составил 15 578,282 тыс. рублей. </w:t>
      </w:r>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 xml:space="preserve">В отчетном году проводилась модернизация автоматических систем управления дорожным движением и светофорных объектов, в том числе на улице (далее - ул.) Ларина - проспект (далее - пр.) </w:t>
      </w:r>
      <w:proofErr w:type="spellStart"/>
      <w:proofErr w:type="gramStart"/>
      <w:r w:rsidRPr="00EC20F8">
        <w:rPr>
          <w:rFonts w:ascii="Times New Roman" w:eastAsia="Courier New" w:hAnsi="Times New Roman" w:cs="Times New Roman"/>
          <w:sz w:val="28"/>
          <w:szCs w:val="28"/>
          <w:lang w:eastAsia="ru-RU"/>
        </w:rPr>
        <w:t>Таранца</w:t>
      </w:r>
      <w:proofErr w:type="spellEnd"/>
      <w:r w:rsidRPr="00EC20F8">
        <w:rPr>
          <w:rFonts w:ascii="Times New Roman" w:eastAsia="Courier New" w:hAnsi="Times New Roman" w:cs="Times New Roman"/>
          <w:sz w:val="28"/>
          <w:szCs w:val="28"/>
          <w:lang w:eastAsia="ru-RU"/>
        </w:rPr>
        <w:t>, установлено 4 светофорных объекта (на ул. Владивостокской, ул. Пограничной, ул. Зеркальной, на перекрестке ул. Ларина и пр.</w:t>
      </w:r>
      <w:proofErr w:type="gramEnd"/>
      <w:r w:rsidRPr="00EC20F8">
        <w:rPr>
          <w:rFonts w:ascii="Times New Roman" w:eastAsia="Courier New" w:hAnsi="Times New Roman" w:cs="Times New Roman"/>
          <w:sz w:val="28"/>
          <w:szCs w:val="28"/>
          <w:lang w:eastAsia="ru-RU"/>
        </w:rPr>
        <w:t xml:space="preserve"> </w:t>
      </w:r>
      <w:proofErr w:type="spellStart"/>
      <w:r w:rsidRPr="00EC20F8">
        <w:rPr>
          <w:rFonts w:ascii="Times New Roman" w:eastAsia="Courier New" w:hAnsi="Times New Roman" w:cs="Times New Roman"/>
          <w:sz w:val="28"/>
          <w:szCs w:val="28"/>
          <w:lang w:eastAsia="ru-RU"/>
        </w:rPr>
        <w:t>Таранца</w:t>
      </w:r>
      <w:proofErr w:type="spellEnd"/>
      <w:r w:rsidRPr="00EC20F8">
        <w:rPr>
          <w:rFonts w:ascii="Times New Roman" w:eastAsia="Courier New" w:hAnsi="Times New Roman" w:cs="Times New Roman"/>
          <w:sz w:val="28"/>
          <w:szCs w:val="28"/>
          <w:lang w:eastAsia="ru-RU"/>
        </w:rPr>
        <w:t xml:space="preserve">); обустроены пешеходными ограждениями перильного типа (560 погонных метров)  наиболее аварийно опасные  переходы (по ул. Тушканова, ул. </w:t>
      </w:r>
      <w:proofErr w:type="spellStart"/>
      <w:r w:rsidRPr="00EC20F8">
        <w:rPr>
          <w:rFonts w:ascii="Times New Roman" w:eastAsia="Courier New" w:hAnsi="Times New Roman" w:cs="Times New Roman"/>
          <w:sz w:val="28"/>
          <w:szCs w:val="28"/>
          <w:lang w:eastAsia="ru-RU"/>
        </w:rPr>
        <w:t>Лукашевского</w:t>
      </w:r>
      <w:proofErr w:type="spellEnd"/>
      <w:r w:rsidRPr="00EC20F8">
        <w:rPr>
          <w:rFonts w:ascii="Times New Roman" w:eastAsia="Courier New" w:hAnsi="Times New Roman" w:cs="Times New Roman"/>
          <w:sz w:val="28"/>
          <w:szCs w:val="28"/>
          <w:lang w:eastAsia="ru-RU"/>
        </w:rPr>
        <w:t xml:space="preserve">, пр. 50 лет Октября, пр. Победы, ул. </w:t>
      </w:r>
      <w:proofErr w:type="spellStart"/>
      <w:r w:rsidRPr="00EC20F8">
        <w:rPr>
          <w:rFonts w:ascii="Times New Roman" w:eastAsia="Courier New" w:hAnsi="Times New Roman" w:cs="Times New Roman"/>
          <w:sz w:val="28"/>
          <w:szCs w:val="28"/>
          <w:lang w:eastAsia="ru-RU"/>
        </w:rPr>
        <w:t>Войцешека</w:t>
      </w:r>
      <w:proofErr w:type="spellEnd"/>
      <w:r w:rsidRPr="00EC20F8">
        <w:rPr>
          <w:rFonts w:ascii="Times New Roman" w:eastAsia="Courier New" w:hAnsi="Times New Roman" w:cs="Times New Roman"/>
          <w:sz w:val="28"/>
          <w:szCs w:val="28"/>
          <w:lang w:eastAsia="ru-RU"/>
        </w:rPr>
        <w:t xml:space="preserve">), обустроены наиболее опасные участки дороги в п. </w:t>
      </w:r>
      <w:proofErr w:type="spellStart"/>
      <w:r w:rsidRPr="00EC20F8">
        <w:rPr>
          <w:rFonts w:ascii="Times New Roman" w:eastAsia="Courier New" w:hAnsi="Times New Roman" w:cs="Times New Roman"/>
          <w:sz w:val="28"/>
          <w:szCs w:val="28"/>
          <w:lang w:eastAsia="ru-RU"/>
        </w:rPr>
        <w:t>Завойко</w:t>
      </w:r>
      <w:proofErr w:type="spellEnd"/>
      <w:r w:rsidRPr="00EC20F8">
        <w:rPr>
          <w:rFonts w:ascii="Times New Roman" w:eastAsia="Courier New" w:hAnsi="Times New Roman" w:cs="Times New Roman"/>
          <w:sz w:val="28"/>
          <w:szCs w:val="28"/>
          <w:lang w:eastAsia="ru-RU"/>
        </w:rPr>
        <w:t xml:space="preserve"> дорожными ограждениями протяжённостью 368 погонных метров; дорожная разметка нанесена на 115,04 м</w:t>
      </w:r>
      <w:r w:rsidRPr="00EC20F8">
        <w:rPr>
          <w:rFonts w:ascii="Times New Roman" w:eastAsia="Courier New" w:hAnsi="Times New Roman" w:cs="Times New Roman"/>
          <w:sz w:val="28"/>
          <w:szCs w:val="28"/>
          <w:vertAlign w:val="superscript"/>
          <w:lang w:eastAsia="ru-RU"/>
        </w:rPr>
        <w:t>2</w:t>
      </w:r>
      <w:r w:rsidRPr="00EC20F8">
        <w:rPr>
          <w:rFonts w:ascii="Times New Roman" w:eastAsia="Courier New" w:hAnsi="Times New Roman" w:cs="Times New Roman"/>
          <w:sz w:val="28"/>
          <w:szCs w:val="28"/>
          <w:lang w:eastAsia="ru-RU"/>
        </w:rPr>
        <w:t xml:space="preserve"> дорог, обустроено 3 «наплывных» трапециевидные искусственные неровности </w:t>
      </w:r>
      <w:proofErr w:type="gramStart"/>
      <w:r w:rsidRPr="00EC20F8">
        <w:rPr>
          <w:rFonts w:ascii="Times New Roman" w:eastAsia="Courier New" w:hAnsi="Times New Roman" w:cs="Times New Roman"/>
          <w:sz w:val="28"/>
          <w:szCs w:val="28"/>
          <w:lang w:eastAsia="ru-RU"/>
        </w:rPr>
        <w:t xml:space="preserve">( </w:t>
      </w:r>
      <w:proofErr w:type="gramEnd"/>
      <w:r w:rsidRPr="00EC20F8">
        <w:rPr>
          <w:rFonts w:ascii="Times New Roman" w:eastAsia="Courier New" w:hAnsi="Times New Roman" w:cs="Times New Roman"/>
          <w:sz w:val="28"/>
          <w:szCs w:val="28"/>
          <w:lang w:eastAsia="ru-RU"/>
        </w:rPr>
        <w:t xml:space="preserve">ул. Океанская, ул. Омская, ул. </w:t>
      </w:r>
      <w:proofErr w:type="spellStart"/>
      <w:r w:rsidRPr="00EC20F8">
        <w:rPr>
          <w:rFonts w:ascii="Times New Roman" w:eastAsia="Courier New" w:hAnsi="Times New Roman" w:cs="Times New Roman"/>
          <w:sz w:val="28"/>
          <w:szCs w:val="28"/>
          <w:lang w:eastAsia="ru-RU"/>
        </w:rPr>
        <w:t>Лукашевского</w:t>
      </w:r>
      <w:proofErr w:type="spellEnd"/>
      <w:r w:rsidRPr="00EC20F8">
        <w:rPr>
          <w:rFonts w:ascii="Times New Roman" w:eastAsia="Courier New" w:hAnsi="Times New Roman" w:cs="Times New Roman"/>
          <w:sz w:val="28"/>
          <w:szCs w:val="28"/>
          <w:lang w:eastAsia="ru-RU"/>
        </w:rPr>
        <w:t xml:space="preserve">) и волнообразные искусственные неровности (по пр. </w:t>
      </w:r>
      <w:proofErr w:type="gramStart"/>
      <w:r w:rsidRPr="00EC20F8">
        <w:rPr>
          <w:rFonts w:ascii="Times New Roman" w:eastAsia="Courier New" w:hAnsi="Times New Roman" w:cs="Times New Roman"/>
          <w:sz w:val="28"/>
          <w:szCs w:val="28"/>
          <w:lang w:eastAsia="ru-RU"/>
        </w:rPr>
        <w:t>Циолковского, ул. Ларина, а также на территориях учреждений дошкольного и общего образования по ул. Горького, 10-16), установлены дорожные знаки на автомобильных дорогах общего пользования местного значения в количестве 87 единиц, изготовлены 34 дорожных знака, установлены и демонтированы 349 дорожных знака.</w:t>
      </w:r>
      <w:proofErr w:type="gramEnd"/>
      <w:r w:rsidRPr="00EC20F8">
        <w:rPr>
          <w:rFonts w:ascii="Times New Roman" w:eastAsia="Courier New" w:hAnsi="Times New Roman" w:cs="Times New Roman"/>
          <w:sz w:val="28"/>
          <w:szCs w:val="28"/>
          <w:lang w:eastAsia="ru-RU"/>
        </w:rPr>
        <w:t xml:space="preserve"> В рамках текущего содержания объектов осуществлено освещение пешеходных переходов, оборудование подходов к пешеходным переходам. </w:t>
      </w:r>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 xml:space="preserve">За последние годы проведена значительная работа по улучшению безопасности дорожного движения, совершенствованию </w:t>
      </w:r>
      <w:proofErr w:type="gramStart"/>
      <w:r w:rsidRPr="00EC20F8">
        <w:rPr>
          <w:rFonts w:ascii="Times New Roman" w:eastAsia="Courier New" w:hAnsi="Times New Roman" w:cs="Times New Roman"/>
          <w:sz w:val="28"/>
          <w:szCs w:val="28"/>
          <w:lang w:eastAsia="ru-RU"/>
        </w:rPr>
        <w:t>системы организации транспортного обслуживания населения</w:t>
      </w:r>
      <w:proofErr w:type="gramEnd"/>
      <w:r w:rsidRPr="00EC20F8">
        <w:rPr>
          <w:rFonts w:ascii="Times New Roman" w:eastAsia="Courier New" w:hAnsi="Times New Roman" w:cs="Times New Roman"/>
          <w:sz w:val="28"/>
          <w:szCs w:val="28"/>
          <w:lang w:eastAsia="ru-RU"/>
        </w:rPr>
        <w:t>.  Ежегодно реализуется комплекс мер по обеспечению безопасности дорожного движения и снижению аварийности на улицах города в рамках мероприятий муниципальной и государственной программы.</w:t>
      </w:r>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bookmarkStart w:id="164" w:name="_GoBack"/>
      <w:bookmarkEnd w:id="164"/>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Courier New" w:eastAsia="Courier New" w:hAnsi="Courier New" w:cs="Courier New"/>
          <w:noProof/>
          <w:sz w:val="24"/>
          <w:szCs w:val="24"/>
          <w:lang w:eastAsia="ru-RU"/>
        </w:rPr>
        <w:drawing>
          <wp:inline distT="0" distB="0" distL="0" distR="0">
            <wp:extent cx="4591050" cy="2466975"/>
            <wp:effectExtent l="0" t="0" r="0"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660F7A" w:rsidRPr="00EC20F8" w:rsidRDefault="00660F7A" w:rsidP="00660F7A">
      <w:pPr>
        <w:widowControl w:val="0"/>
        <w:spacing w:line="240" w:lineRule="auto"/>
        <w:ind w:firstLine="708"/>
        <w:jc w:val="center"/>
        <w:rPr>
          <w:rFonts w:ascii="Times New Roman" w:eastAsia="Courier New" w:hAnsi="Times New Roman" w:cs="Times New Roman"/>
          <w:i/>
          <w:sz w:val="24"/>
          <w:szCs w:val="24"/>
          <w:lang w:eastAsia="ru-RU"/>
        </w:rPr>
      </w:pPr>
      <w:r w:rsidRPr="00EC20F8">
        <w:rPr>
          <w:rFonts w:ascii="Times New Roman" w:eastAsia="Courier New" w:hAnsi="Times New Roman" w:cs="Times New Roman"/>
          <w:i/>
          <w:sz w:val="24"/>
          <w:szCs w:val="24"/>
          <w:lang w:eastAsia="ru-RU"/>
        </w:rPr>
        <w:t>Рис 22.3.1. Число дорожно-транспортных происшествий и пострадавших в них</w:t>
      </w:r>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p>
    <w:p w:rsidR="00660F7A" w:rsidRPr="00EC20F8" w:rsidRDefault="00660F7A" w:rsidP="00660F7A">
      <w:pPr>
        <w:spacing w:line="240" w:lineRule="auto"/>
        <w:ind w:firstLine="709"/>
        <w:contextualSpacing/>
        <w:jc w:val="both"/>
        <w:rPr>
          <w:rFonts w:ascii="Times New Roman" w:eastAsia="Times New Roman" w:hAnsi="Times New Roman" w:cs="Times New Roman"/>
          <w:sz w:val="28"/>
          <w:szCs w:val="28"/>
          <w:lang w:eastAsia="ru-RU"/>
        </w:rPr>
      </w:pPr>
      <w:proofErr w:type="gramStart"/>
      <w:r w:rsidRPr="00EC20F8">
        <w:rPr>
          <w:rFonts w:ascii="Times New Roman" w:eastAsia="Times New Roman" w:hAnsi="Times New Roman" w:cs="Times New Roman"/>
          <w:sz w:val="28"/>
          <w:szCs w:val="28"/>
          <w:lang w:eastAsia="ru-RU"/>
        </w:rPr>
        <w:t>При росте количества ДТП и количества лиц, погибших в результате ДТП, необходим переход к системной работе в сфере обеспечения безопасности дорожного движения.</w:t>
      </w:r>
      <w:proofErr w:type="gramEnd"/>
      <w:r w:rsidRPr="00EC20F8">
        <w:rPr>
          <w:rFonts w:ascii="Times New Roman" w:eastAsia="Times New Roman" w:hAnsi="Times New Roman" w:cs="Times New Roman"/>
          <w:sz w:val="28"/>
          <w:szCs w:val="28"/>
          <w:lang w:eastAsia="ru-RU"/>
        </w:rPr>
        <w:t xml:space="preserve"> Решение данной проблемы, стабилизация и последовательное улучшение ситуации возможно при </w:t>
      </w:r>
      <w:proofErr w:type="gramStart"/>
      <w:r w:rsidRPr="00EC20F8">
        <w:rPr>
          <w:rFonts w:ascii="Times New Roman" w:eastAsia="Times New Roman" w:hAnsi="Times New Roman" w:cs="Times New Roman"/>
          <w:sz w:val="28"/>
          <w:szCs w:val="28"/>
          <w:lang w:eastAsia="ru-RU"/>
        </w:rPr>
        <w:t>плановом структурном</w:t>
      </w:r>
      <w:proofErr w:type="gramEnd"/>
      <w:r w:rsidRPr="00EC20F8">
        <w:rPr>
          <w:rFonts w:ascii="Times New Roman" w:eastAsia="Times New Roman" w:hAnsi="Times New Roman" w:cs="Times New Roman"/>
          <w:sz w:val="28"/>
          <w:szCs w:val="28"/>
          <w:lang w:eastAsia="ru-RU"/>
        </w:rPr>
        <w:t xml:space="preserve"> подходе, регулярном осуществлении ряда мероприятий и соблюдении условия планомерной целенаправленной работы по повышению безопасности дорожного движения.</w:t>
      </w:r>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В 2014 году продолжа</w:t>
      </w:r>
      <w:r w:rsidR="007A3C74" w:rsidRPr="00EC20F8">
        <w:rPr>
          <w:rFonts w:ascii="Times New Roman" w:eastAsia="Courier New" w:hAnsi="Times New Roman" w:cs="Times New Roman"/>
          <w:sz w:val="28"/>
          <w:szCs w:val="28"/>
          <w:lang w:eastAsia="ru-RU"/>
        </w:rPr>
        <w:t>е</w:t>
      </w:r>
      <w:r w:rsidRPr="00EC20F8">
        <w:rPr>
          <w:rFonts w:ascii="Times New Roman" w:eastAsia="Courier New" w:hAnsi="Times New Roman" w:cs="Times New Roman"/>
          <w:sz w:val="28"/>
          <w:szCs w:val="28"/>
          <w:lang w:eastAsia="ru-RU"/>
        </w:rPr>
        <w:t>т</w:t>
      </w:r>
      <w:r w:rsidR="007A3C74" w:rsidRPr="00EC20F8">
        <w:rPr>
          <w:rFonts w:ascii="Times New Roman" w:eastAsia="Courier New" w:hAnsi="Times New Roman" w:cs="Times New Roman"/>
          <w:sz w:val="28"/>
          <w:szCs w:val="28"/>
          <w:lang w:eastAsia="ru-RU"/>
        </w:rPr>
        <w:t>ся</w:t>
      </w:r>
      <w:r w:rsidRPr="00EC20F8">
        <w:rPr>
          <w:rFonts w:ascii="Times New Roman" w:eastAsia="Courier New" w:hAnsi="Times New Roman" w:cs="Times New Roman"/>
          <w:sz w:val="28"/>
          <w:szCs w:val="28"/>
          <w:lang w:eastAsia="ru-RU"/>
        </w:rPr>
        <w:t xml:space="preserve"> работу по снижению числа дорожно-транспортных происшествий.  В рамках муниципальной программы «Развитие транспортной системы Петропавловск-Камчатского городского округа» (подпрограмма 3 «</w:t>
      </w:r>
      <w:r w:rsidR="00E860C6" w:rsidRPr="00EC20F8">
        <w:rPr>
          <w:rFonts w:ascii="Times New Roman" w:eastAsia="Courier New" w:hAnsi="Times New Roman" w:cs="Times New Roman"/>
          <w:sz w:val="28"/>
          <w:szCs w:val="28"/>
          <w:lang w:eastAsia="ru-RU"/>
        </w:rPr>
        <w:t>Организация и безопасность дорожного движения</w:t>
      </w:r>
      <w:r w:rsidRPr="00EC20F8">
        <w:rPr>
          <w:rFonts w:ascii="Times New Roman" w:eastAsia="Courier New" w:hAnsi="Times New Roman" w:cs="Times New Roman"/>
          <w:sz w:val="28"/>
          <w:szCs w:val="28"/>
          <w:lang w:eastAsia="ru-RU"/>
        </w:rPr>
        <w:t xml:space="preserve">») будут </w:t>
      </w:r>
      <w:proofErr w:type="gramStart"/>
      <w:r w:rsidRPr="00EC20F8">
        <w:rPr>
          <w:rFonts w:ascii="Times New Roman" w:eastAsia="Courier New" w:hAnsi="Times New Roman" w:cs="Times New Roman"/>
          <w:sz w:val="28"/>
          <w:szCs w:val="28"/>
          <w:lang w:eastAsia="ru-RU"/>
        </w:rPr>
        <w:t>выполнятся</w:t>
      </w:r>
      <w:proofErr w:type="gramEnd"/>
      <w:r w:rsidRPr="00EC20F8">
        <w:rPr>
          <w:rFonts w:ascii="Times New Roman" w:eastAsia="Courier New" w:hAnsi="Times New Roman" w:cs="Times New Roman"/>
          <w:sz w:val="28"/>
          <w:szCs w:val="28"/>
          <w:lang w:eastAsia="ru-RU"/>
        </w:rPr>
        <w:t xml:space="preserve"> мероприятия по замене пешеходных светофоров с ТООВ (табло отчёта обратного времени) и УЗС (устройство звукового сопровождения), замене барьерного ограждения на автомобильной дороге ул. Мишенная, обустройству наиболее опасных участков </w:t>
      </w:r>
      <w:proofErr w:type="spellStart"/>
      <w:r w:rsidRPr="00EC20F8">
        <w:rPr>
          <w:rFonts w:ascii="Times New Roman" w:eastAsia="Courier New" w:hAnsi="Times New Roman" w:cs="Times New Roman"/>
          <w:sz w:val="28"/>
          <w:szCs w:val="28"/>
          <w:lang w:eastAsia="ru-RU"/>
        </w:rPr>
        <w:t>улично</w:t>
      </w:r>
      <w:proofErr w:type="spellEnd"/>
      <w:r w:rsidRPr="00EC20F8">
        <w:rPr>
          <w:rFonts w:ascii="Times New Roman" w:eastAsia="Courier New" w:hAnsi="Times New Roman" w:cs="Times New Roman"/>
          <w:sz w:val="28"/>
          <w:szCs w:val="28"/>
          <w:lang w:eastAsia="ru-RU"/>
        </w:rPr>
        <w:t xml:space="preserve">- дорожной сети дорожными ограждениями и пешеходными ограждениями перильного типа, по установке на пешеходных </w:t>
      </w:r>
      <w:proofErr w:type="gramStart"/>
      <w:r w:rsidRPr="00EC20F8">
        <w:rPr>
          <w:rFonts w:ascii="Times New Roman" w:eastAsia="Courier New" w:hAnsi="Times New Roman" w:cs="Times New Roman"/>
          <w:sz w:val="28"/>
          <w:szCs w:val="28"/>
          <w:lang w:eastAsia="ru-RU"/>
        </w:rPr>
        <w:t>переходах</w:t>
      </w:r>
      <w:proofErr w:type="gramEnd"/>
      <w:r w:rsidRPr="00EC20F8">
        <w:rPr>
          <w:rFonts w:ascii="Times New Roman" w:eastAsia="Courier New" w:hAnsi="Times New Roman" w:cs="Times New Roman"/>
          <w:sz w:val="28"/>
          <w:szCs w:val="28"/>
          <w:lang w:eastAsia="ru-RU"/>
        </w:rPr>
        <w:t xml:space="preserve"> трапециевидных искусственных неровностей, оборудование подходов к пешеходным переходам и их освещение. </w:t>
      </w:r>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proofErr w:type="gramStart"/>
      <w:r w:rsidRPr="00EC20F8">
        <w:rPr>
          <w:rFonts w:ascii="Times New Roman" w:eastAsia="Courier New" w:hAnsi="Times New Roman" w:cs="Times New Roman"/>
          <w:b/>
          <w:i/>
          <w:sz w:val="28"/>
          <w:szCs w:val="28"/>
          <w:lang w:eastAsia="ru-RU"/>
        </w:rPr>
        <w:t>В 2015-2017 годах</w:t>
      </w:r>
      <w:r w:rsidRPr="00EC20F8">
        <w:rPr>
          <w:rFonts w:ascii="Times New Roman" w:eastAsia="Courier New" w:hAnsi="Times New Roman" w:cs="Times New Roman"/>
          <w:sz w:val="28"/>
          <w:szCs w:val="28"/>
          <w:lang w:eastAsia="ru-RU"/>
        </w:rPr>
        <w:t xml:space="preserve"> в целях совершенствования организации движения транспорта и пешеходов продолжится реализация мероприятий подпрограммы 3 </w:t>
      </w:r>
      <w:r w:rsidR="00E860C6" w:rsidRPr="00EC20F8">
        <w:rPr>
          <w:rFonts w:ascii="Times New Roman" w:eastAsia="Courier New" w:hAnsi="Times New Roman" w:cs="Times New Roman"/>
          <w:sz w:val="28"/>
          <w:szCs w:val="28"/>
          <w:lang w:eastAsia="ru-RU"/>
        </w:rPr>
        <w:t>«Организация и безопасность дорожного движения»</w:t>
      </w:r>
      <w:r w:rsidRPr="00EC20F8">
        <w:rPr>
          <w:rFonts w:ascii="Times New Roman" w:eastAsia="Courier New" w:hAnsi="Times New Roman" w:cs="Times New Roman"/>
          <w:sz w:val="28"/>
          <w:szCs w:val="28"/>
          <w:lang w:eastAsia="ru-RU"/>
        </w:rPr>
        <w:t xml:space="preserve"> муниципальной программы «Развитие транспортной системы в Петропавловск-Камчатском городском округе»:</w:t>
      </w:r>
      <w:proofErr w:type="gramEnd"/>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 xml:space="preserve">- модернизация автоматических систем управления дорожным движением и светофорных объектов, в том числе на ул. Ларина- проспект </w:t>
      </w:r>
      <w:proofErr w:type="spellStart"/>
      <w:r w:rsidRPr="00EC20F8">
        <w:rPr>
          <w:rFonts w:ascii="Times New Roman" w:eastAsia="Courier New" w:hAnsi="Times New Roman" w:cs="Times New Roman"/>
          <w:sz w:val="28"/>
          <w:szCs w:val="28"/>
          <w:lang w:eastAsia="ru-RU"/>
        </w:rPr>
        <w:t>Таранца</w:t>
      </w:r>
      <w:proofErr w:type="spellEnd"/>
      <w:r w:rsidRPr="00EC20F8">
        <w:rPr>
          <w:rFonts w:ascii="Times New Roman" w:eastAsia="Courier New" w:hAnsi="Times New Roman" w:cs="Times New Roman"/>
          <w:sz w:val="28"/>
          <w:szCs w:val="28"/>
          <w:lang w:eastAsia="ru-RU"/>
        </w:rPr>
        <w:t xml:space="preserve">; </w:t>
      </w:r>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 содержание технических средств регулирования дорожного движения, электроснабжение светофорных объектов;</w:t>
      </w:r>
    </w:p>
    <w:p w:rsidR="00660F7A" w:rsidRPr="00EC20F8" w:rsidRDefault="00275612"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 xml:space="preserve">- </w:t>
      </w:r>
      <w:r w:rsidR="00660F7A" w:rsidRPr="00EC20F8">
        <w:rPr>
          <w:rFonts w:ascii="Times New Roman" w:eastAsia="Courier New" w:hAnsi="Times New Roman" w:cs="Times New Roman"/>
          <w:sz w:val="28"/>
          <w:szCs w:val="28"/>
          <w:lang w:eastAsia="ru-RU"/>
        </w:rPr>
        <w:t>установка и демонтаж дорожных знаков;</w:t>
      </w:r>
    </w:p>
    <w:p w:rsidR="00660F7A" w:rsidRPr="00EC20F8" w:rsidRDefault="00275612"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 xml:space="preserve">- </w:t>
      </w:r>
      <w:r w:rsidR="00660F7A" w:rsidRPr="00EC20F8">
        <w:rPr>
          <w:rFonts w:ascii="Times New Roman" w:eastAsia="Courier New" w:hAnsi="Times New Roman" w:cs="Times New Roman"/>
          <w:sz w:val="28"/>
          <w:szCs w:val="28"/>
          <w:lang w:eastAsia="ru-RU"/>
        </w:rPr>
        <w:t>нанесение дорожной разметки (краской, пластиком);</w:t>
      </w:r>
    </w:p>
    <w:p w:rsidR="00660F7A" w:rsidRPr="00EC20F8" w:rsidRDefault="00275612"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 xml:space="preserve">- </w:t>
      </w:r>
      <w:r w:rsidR="00660F7A" w:rsidRPr="00EC20F8">
        <w:rPr>
          <w:rFonts w:ascii="Times New Roman" w:eastAsia="Courier New" w:hAnsi="Times New Roman" w:cs="Times New Roman"/>
          <w:sz w:val="28"/>
          <w:szCs w:val="28"/>
          <w:lang w:eastAsia="ru-RU"/>
        </w:rPr>
        <w:t xml:space="preserve">устройство дополнительных полос движения на перекрестках для поворота направо; </w:t>
      </w:r>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 обустройство улично-дорожной сети пешеходными ограждениями перильного типа;</w:t>
      </w:r>
    </w:p>
    <w:p w:rsidR="00660F7A" w:rsidRPr="00EC20F8" w:rsidRDefault="00275612"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 xml:space="preserve">- </w:t>
      </w:r>
      <w:r w:rsidR="00660F7A" w:rsidRPr="00EC20F8">
        <w:rPr>
          <w:rFonts w:ascii="Times New Roman" w:eastAsia="Courier New" w:hAnsi="Times New Roman" w:cs="Times New Roman"/>
          <w:sz w:val="28"/>
          <w:szCs w:val="28"/>
          <w:lang w:eastAsia="ru-RU"/>
        </w:rPr>
        <w:t>освещение пешеходных переходов;</w:t>
      </w:r>
    </w:p>
    <w:p w:rsidR="00660F7A" w:rsidRPr="00EC20F8" w:rsidRDefault="00275612"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 xml:space="preserve">- </w:t>
      </w:r>
      <w:r w:rsidR="00660F7A" w:rsidRPr="00EC20F8">
        <w:rPr>
          <w:rFonts w:ascii="Times New Roman" w:eastAsia="Courier New" w:hAnsi="Times New Roman" w:cs="Times New Roman"/>
          <w:sz w:val="28"/>
          <w:szCs w:val="28"/>
          <w:lang w:eastAsia="ru-RU"/>
        </w:rPr>
        <w:t>установка искусственных неровностей;</w:t>
      </w:r>
    </w:p>
    <w:p w:rsidR="00660F7A" w:rsidRPr="00EC20F8" w:rsidRDefault="00275612"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 xml:space="preserve">- </w:t>
      </w:r>
      <w:r w:rsidR="00660F7A" w:rsidRPr="00EC20F8">
        <w:rPr>
          <w:rFonts w:ascii="Times New Roman" w:eastAsia="Courier New" w:hAnsi="Times New Roman" w:cs="Times New Roman"/>
          <w:sz w:val="28"/>
          <w:szCs w:val="28"/>
          <w:lang w:eastAsia="ru-RU"/>
        </w:rPr>
        <w:t>оборудование подходов к пешеходным переходам;</w:t>
      </w:r>
    </w:p>
    <w:p w:rsidR="00660F7A" w:rsidRPr="00EC20F8" w:rsidRDefault="00275612"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 xml:space="preserve">- </w:t>
      </w:r>
      <w:r w:rsidR="00660F7A" w:rsidRPr="00EC20F8">
        <w:rPr>
          <w:rFonts w:ascii="Times New Roman" w:eastAsia="Courier New" w:hAnsi="Times New Roman" w:cs="Times New Roman"/>
          <w:sz w:val="28"/>
          <w:szCs w:val="28"/>
          <w:lang w:eastAsia="ru-RU"/>
        </w:rPr>
        <w:t>выполнение работ по замене пешеходных светофоров с ТООВ и УЭС;</w:t>
      </w:r>
    </w:p>
    <w:p w:rsidR="00660F7A" w:rsidRPr="00EC20F8" w:rsidRDefault="00275612"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 xml:space="preserve">- </w:t>
      </w:r>
      <w:r w:rsidR="00660F7A" w:rsidRPr="00EC20F8">
        <w:rPr>
          <w:rFonts w:ascii="Times New Roman" w:eastAsia="Courier New" w:hAnsi="Times New Roman" w:cs="Times New Roman"/>
          <w:sz w:val="28"/>
          <w:szCs w:val="28"/>
          <w:lang w:eastAsia="ru-RU"/>
        </w:rPr>
        <w:t xml:space="preserve">выполнение работ по приведению к нормативному состоянию барьерного ограждения по ул. </w:t>
      </w:r>
      <w:proofErr w:type="gramStart"/>
      <w:r w:rsidR="00660F7A" w:rsidRPr="00EC20F8">
        <w:rPr>
          <w:rFonts w:ascii="Times New Roman" w:eastAsia="Courier New" w:hAnsi="Times New Roman" w:cs="Times New Roman"/>
          <w:sz w:val="28"/>
          <w:szCs w:val="28"/>
          <w:lang w:eastAsia="ru-RU"/>
        </w:rPr>
        <w:t>Мишенная</w:t>
      </w:r>
      <w:proofErr w:type="gramEnd"/>
      <w:r w:rsidR="00660F7A" w:rsidRPr="00EC20F8">
        <w:rPr>
          <w:rFonts w:ascii="Times New Roman" w:eastAsia="Courier New" w:hAnsi="Times New Roman" w:cs="Times New Roman"/>
          <w:sz w:val="28"/>
          <w:szCs w:val="28"/>
          <w:lang w:eastAsia="ru-RU"/>
        </w:rPr>
        <w:t xml:space="preserve"> и ул. Беринга;</w:t>
      </w:r>
    </w:p>
    <w:p w:rsidR="00660F7A" w:rsidRPr="00EC20F8" w:rsidRDefault="00275612"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 xml:space="preserve">- </w:t>
      </w:r>
      <w:r w:rsidR="00660F7A" w:rsidRPr="00EC20F8">
        <w:rPr>
          <w:rFonts w:ascii="Times New Roman" w:eastAsia="Courier New" w:hAnsi="Times New Roman" w:cs="Times New Roman"/>
          <w:sz w:val="28"/>
          <w:szCs w:val="28"/>
          <w:lang w:eastAsia="ru-RU"/>
        </w:rPr>
        <w:t xml:space="preserve">работы по установке светофорных объектов на перекрестке автомобильных дорог улицы Ларина-проспект </w:t>
      </w:r>
      <w:proofErr w:type="spellStart"/>
      <w:r w:rsidR="00660F7A" w:rsidRPr="00EC20F8">
        <w:rPr>
          <w:rFonts w:ascii="Times New Roman" w:eastAsia="Courier New" w:hAnsi="Times New Roman" w:cs="Times New Roman"/>
          <w:sz w:val="28"/>
          <w:szCs w:val="28"/>
          <w:lang w:eastAsia="ru-RU"/>
        </w:rPr>
        <w:t>Таранца</w:t>
      </w:r>
      <w:proofErr w:type="spellEnd"/>
      <w:r w:rsidR="00660F7A" w:rsidRPr="00EC20F8">
        <w:rPr>
          <w:rFonts w:ascii="Times New Roman" w:eastAsia="Courier New" w:hAnsi="Times New Roman" w:cs="Times New Roman"/>
          <w:sz w:val="28"/>
          <w:szCs w:val="28"/>
          <w:lang w:eastAsia="ru-RU"/>
        </w:rPr>
        <w:t xml:space="preserve"> (2-я очередь).</w:t>
      </w:r>
    </w:p>
    <w:p w:rsidR="00660F7A" w:rsidRPr="00EC20F8" w:rsidRDefault="00660F7A" w:rsidP="00660F7A">
      <w:pPr>
        <w:widowControl w:val="0"/>
        <w:spacing w:line="240" w:lineRule="auto"/>
        <w:ind w:firstLine="708"/>
        <w:rPr>
          <w:rFonts w:ascii="Times New Roman" w:eastAsia="Courier New" w:hAnsi="Times New Roman" w:cs="Times New Roman"/>
          <w:sz w:val="28"/>
          <w:szCs w:val="28"/>
          <w:lang w:eastAsia="ru-RU"/>
        </w:rPr>
      </w:pPr>
    </w:p>
    <w:p w:rsidR="00660F7A" w:rsidRPr="00EC20F8" w:rsidRDefault="00660F7A" w:rsidP="00660F7A">
      <w:pPr>
        <w:autoSpaceDE w:val="0"/>
        <w:autoSpaceDN w:val="0"/>
        <w:adjustRightInd w:val="0"/>
        <w:spacing w:line="240" w:lineRule="auto"/>
        <w:ind w:firstLine="709"/>
        <w:jc w:val="center"/>
        <w:outlineLvl w:val="0"/>
        <w:rPr>
          <w:rFonts w:ascii="Times New Roman" w:hAnsi="Times New Roman" w:cs="Times New Roman"/>
          <w:b/>
          <w:sz w:val="28"/>
          <w:szCs w:val="28"/>
        </w:rPr>
      </w:pPr>
      <w:bookmarkStart w:id="165" w:name="_Toc368988929"/>
      <w:bookmarkStart w:id="166" w:name="_Toc368930871"/>
      <w:bookmarkStart w:id="167" w:name="_Toc368930247"/>
      <w:bookmarkStart w:id="168" w:name="_Toc400529695"/>
      <w:r w:rsidRPr="00EC20F8">
        <w:rPr>
          <w:rFonts w:ascii="Times New Roman" w:hAnsi="Times New Roman" w:cs="Times New Roman"/>
          <w:b/>
          <w:sz w:val="28"/>
          <w:szCs w:val="28"/>
        </w:rPr>
        <w:t>23. Связь</w:t>
      </w:r>
      <w:bookmarkEnd w:id="165"/>
      <w:bookmarkEnd w:id="166"/>
      <w:bookmarkEnd w:id="167"/>
      <w:bookmarkEnd w:id="168"/>
    </w:p>
    <w:p w:rsidR="00660F7A" w:rsidRPr="00EC20F8" w:rsidRDefault="00660F7A" w:rsidP="00660F7A">
      <w:pPr>
        <w:widowControl w:val="0"/>
        <w:spacing w:line="240" w:lineRule="auto"/>
        <w:rPr>
          <w:rFonts w:ascii="Courier New" w:eastAsia="Courier New" w:hAnsi="Courier New" w:cs="Courier New"/>
          <w:sz w:val="24"/>
          <w:szCs w:val="24"/>
          <w:lang w:eastAsia="ru-RU"/>
        </w:rPr>
      </w:pPr>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Общие направления развитие рынка услуг с</w:t>
      </w:r>
      <w:r w:rsidR="00275612" w:rsidRPr="00EC20F8">
        <w:rPr>
          <w:rFonts w:ascii="Times New Roman" w:eastAsia="Courier New" w:hAnsi="Times New Roman" w:cs="Times New Roman"/>
          <w:sz w:val="28"/>
          <w:szCs w:val="28"/>
          <w:lang w:eastAsia="ru-RU"/>
        </w:rPr>
        <w:t xml:space="preserve">вязи городского </w:t>
      </w:r>
      <w:proofErr w:type="gramStart"/>
      <w:r w:rsidR="00275612" w:rsidRPr="00EC20F8">
        <w:rPr>
          <w:rFonts w:ascii="Times New Roman" w:eastAsia="Courier New" w:hAnsi="Times New Roman" w:cs="Times New Roman"/>
          <w:sz w:val="28"/>
          <w:szCs w:val="28"/>
          <w:lang w:eastAsia="ru-RU"/>
        </w:rPr>
        <w:t>округа</w:t>
      </w:r>
      <w:proofErr w:type="gramEnd"/>
      <w:r w:rsidR="00275612" w:rsidRPr="00EC20F8">
        <w:rPr>
          <w:rFonts w:ascii="Times New Roman" w:eastAsia="Courier New" w:hAnsi="Times New Roman" w:cs="Times New Roman"/>
          <w:sz w:val="28"/>
          <w:szCs w:val="28"/>
          <w:lang w:eastAsia="ru-RU"/>
        </w:rPr>
        <w:t xml:space="preserve"> в общем </w:t>
      </w:r>
      <w:r w:rsidRPr="00EC20F8">
        <w:rPr>
          <w:rFonts w:ascii="Times New Roman" w:eastAsia="Courier New" w:hAnsi="Times New Roman" w:cs="Times New Roman"/>
          <w:sz w:val="28"/>
          <w:szCs w:val="28"/>
          <w:lang w:eastAsia="ru-RU"/>
        </w:rPr>
        <w:t xml:space="preserve">схожи с иными городами Российской Федерации. </w:t>
      </w:r>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 xml:space="preserve">Интернет на рынке услуг связи городского округа характеризуется постоянным повышением спроса, на предоставления качественного доступа </w:t>
      </w:r>
      <w:proofErr w:type="gramStart"/>
      <w:r w:rsidRPr="00EC20F8">
        <w:rPr>
          <w:rFonts w:ascii="Times New Roman" w:eastAsia="Courier New" w:hAnsi="Times New Roman" w:cs="Times New Roman"/>
          <w:sz w:val="28"/>
          <w:szCs w:val="28"/>
          <w:lang w:eastAsia="ru-RU"/>
        </w:rPr>
        <w:t>ко</w:t>
      </w:r>
      <w:proofErr w:type="gramEnd"/>
      <w:r w:rsidRPr="00EC20F8">
        <w:rPr>
          <w:rFonts w:ascii="Times New Roman" w:eastAsia="Courier New" w:hAnsi="Times New Roman" w:cs="Times New Roman"/>
          <w:sz w:val="28"/>
          <w:szCs w:val="28"/>
          <w:lang w:eastAsia="ru-RU"/>
        </w:rPr>
        <w:t xml:space="preserve"> всемирной сети, однако в Камчатском крае в настоящее время существует проблема со скоростью передачей данных. Высокая стоимость спутниковой связи, а также её нестабильность, является главными недостатками.</w:t>
      </w:r>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 xml:space="preserve"> Компания ОАО «</w:t>
      </w:r>
      <w:proofErr w:type="spellStart"/>
      <w:r w:rsidRPr="00EC20F8">
        <w:rPr>
          <w:rFonts w:ascii="Times New Roman" w:eastAsia="Courier New" w:hAnsi="Times New Roman" w:cs="Times New Roman"/>
          <w:sz w:val="28"/>
          <w:szCs w:val="28"/>
          <w:lang w:eastAsia="ru-RU"/>
        </w:rPr>
        <w:t>Ростелеком</w:t>
      </w:r>
      <w:proofErr w:type="spellEnd"/>
      <w:r w:rsidRPr="00EC20F8">
        <w:rPr>
          <w:rFonts w:ascii="Times New Roman" w:eastAsia="Courier New" w:hAnsi="Times New Roman" w:cs="Times New Roman"/>
          <w:sz w:val="28"/>
          <w:szCs w:val="28"/>
          <w:lang w:eastAsia="ru-RU"/>
        </w:rPr>
        <w:t xml:space="preserve">» заключила с китайской компанией </w:t>
      </w:r>
      <w:proofErr w:type="spellStart"/>
      <w:r w:rsidRPr="00EC20F8">
        <w:rPr>
          <w:rFonts w:ascii="Times New Roman" w:eastAsia="Courier New" w:hAnsi="Times New Roman" w:cs="Times New Roman"/>
          <w:sz w:val="28"/>
          <w:szCs w:val="28"/>
          <w:lang w:eastAsia="ru-RU"/>
        </w:rPr>
        <w:t>Huawei</w:t>
      </w:r>
      <w:proofErr w:type="spellEnd"/>
      <w:r w:rsidRPr="00EC20F8">
        <w:rPr>
          <w:rFonts w:ascii="Times New Roman" w:eastAsia="Courier New" w:hAnsi="Times New Roman" w:cs="Times New Roman"/>
          <w:sz w:val="28"/>
          <w:szCs w:val="28"/>
          <w:lang w:eastAsia="ru-RU"/>
        </w:rPr>
        <w:t xml:space="preserve"> контракт, согласно которому она будет вести строительство подводной волоконно-оптической линии связи Сахалин-Магадан-Камчатка. Общая протяженность канала – 1</w:t>
      </w:r>
      <w:r w:rsidR="00275612" w:rsidRPr="00EC20F8">
        <w:rPr>
          <w:rFonts w:ascii="Times New Roman" w:eastAsia="Courier New" w:hAnsi="Times New Roman" w:cs="Times New Roman"/>
          <w:sz w:val="28"/>
          <w:szCs w:val="28"/>
          <w:lang w:eastAsia="ru-RU"/>
        </w:rPr>
        <w:t xml:space="preserve"> </w:t>
      </w:r>
      <w:r w:rsidRPr="00EC20F8">
        <w:rPr>
          <w:rFonts w:ascii="Times New Roman" w:eastAsia="Courier New" w:hAnsi="Times New Roman" w:cs="Times New Roman"/>
          <w:sz w:val="28"/>
          <w:szCs w:val="28"/>
          <w:lang w:eastAsia="ru-RU"/>
        </w:rPr>
        <w:t xml:space="preserve">855 км, подводные волоконно-оптические линии связи (ПВОЛС) будут проложены по дну Охотского моря. В текущем году планируется приступить к подготовительным работам. Ожидается, что уже в 2015 году объект будет готов технически, а во II квартале 2016 года планируется его сдача в эксплуатацию и начало коммерческого использования. Максимальная пропускная способность новой линии связи составит 8 </w:t>
      </w:r>
      <w:proofErr w:type="spellStart"/>
      <w:r w:rsidRPr="00EC20F8">
        <w:rPr>
          <w:rFonts w:ascii="Times New Roman" w:eastAsia="Courier New" w:hAnsi="Times New Roman" w:cs="Times New Roman"/>
          <w:sz w:val="28"/>
          <w:szCs w:val="28"/>
          <w:lang w:eastAsia="ru-RU"/>
        </w:rPr>
        <w:t>Тбит</w:t>
      </w:r>
      <w:proofErr w:type="spellEnd"/>
      <w:r w:rsidRPr="00EC20F8">
        <w:rPr>
          <w:rFonts w:ascii="Times New Roman" w:eastAsia="Courier New" w:hAnsi="Times New Roman" w:cs="Times New Roman"/>
          <w:sz w:val="28"/>
          <w:szCs w:val="28"/>
          <w:lang w:eastAsia="ru-RU"/>
        </w:rPr>
        <w:t>/с, что позволит отказаться от спутникового интернета в южной части полуострова, и как следствие существенно снизить цены на предоставление данной услуги.</w:t>
      </w:r>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По завершению строительства ПВОЛС объем передачи данных увеличится в разы, интернет станет гораздо доступнее для жителей Камчатского края, в том числе и для жителей городского округа.  Доля интернет-услуг на рынке связи значительно увеличится.</w:t>
      </w:r>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Рынок подвижной радиосвязи (сотовой связи) занимает существенную долю в общем объёме услуг связи. В настоящее время в Камчатском крае работают 5 компаний, предоставляющих услуги сотовой связи: открытое акционерное общество «</w:t>
      </w:r>
      <w:proofErr w:type="spellStart"/>
      <w:proofErr w:type="gramStart"/>
      <w:r w:rsidRPr="00EC20F8">
        <w:rPr>
          <w:rFonts w:ascii="Times New Roman" w:eastAsia="Courier New" w:hAnsi="Times New Roman" w:cs="Times New Roman"/>
          <w:sz w:val="28"/>
          <w:szCs w:val="28"/>
          <w:lang w:eastAsia="ru-RU"/>
        </w:rPr>
        <w:t>Вымпел-Коммуникации</w:t>
      </w:r>
      <w:proofErr w:type="spellEnd"/>
      <w:proofErr w:type="gramEnd"/>
      <w:r w:rsidRPr="00EC20F8">
        <w:rPr>
          <w:rFonts w:ascii="Times New Roman" w:eastAsia="Courier New" w:hAnsi="Times New Roman" w:cs="Times New Roman"/>
          <w:sz w:val="28"/>
          <w:szCs w:val="28"/>
          <w:lang w:eastAsia="ru-RU"/>
        </w:rPr>
        <w:t>» (торговая марка «</w:t>
      </w:r>
      <w:proofErr w:type="spellStart"/>
      <w:r w:rsidRPr="00EC20F8">
        <w:rPr>
          <w:rFonts w:ascii="Times New Roman" w:eastAsia="Courier New" w:hAnsi="Times New Roman" w:cs="Times New Roman"/>
          <w:sz w:val="28"/>
          <w:szCs w:val="28"/>
          <w:lang w:eastAsia="ru-RU"/>
        </w:rPr>
        <w:t>Билайн</w:t>
      </w:r>
      <w:proofErr w:type="spellEnd"/>
      <w:r w:rsidRPr="00EC20F8">
        <w:rPr>
          <w:rFonts w:ascii="Times New Roman" w:eastAsia="Courier New" w:hAnsi="Times New Roman" w:cs="Times New Roman"/>
          <w:sz w:val="28"/>
          <w:szCs w:val="28"/>
          <w:lang w:eastAsia="ru-RU"/>
        </w:rPr>
        <w:t>»), открытое акционерное общество «МТС», открытое акционерное общество «</w:t>
      </w:r>
      <w:proofErr w:type="spellStart"/>
      <w:r w:rsidRPr="00EC20F8">
        <w:rPr>
          <w:rFonts w:ascii="Times New Roman" w:eastAsia="Courier New" w:hAnsi="Times New Roman" w:cs="Times New Roman"/>
          <w:sz w:val="28"/>
          <w:szCs w:val="28"/>
          <w:lang w:eastAsia="ru-RU"/>
        </w:rPr>
        <w:t>МегаФон</w:t>
      </w:r>
      <w:proofErr w:type="spellEnd"/>
      <w:r w:rsidRPr="00EC20F8">
        <w:rPr>
          <w:rFonts w:ascii="Times New Roman" w:eastAsia="Courier New" w:hAnsi="Times New Roman" w:cs="Times New Roman"/>
          <w:sz w:val="28"/>
          <w:szCs w:val="28"/>
          <w:lang w:eastAsia="ru-RU"/>
        </w:rPr>
        <w:t>», открытое акционерное общество «</w:t>
      </w:r>
      <w:proofErr w:type="spellStart"/>
      <w:r w:rsidRPr="00EC20F8">
        <w:rPr>
          <w:rFonts w:ascii="Times New Roman" w:eastAsia="Courier New" w:hAnsi="Times New Roman" w:cs="Times New Roman"/>
          <w:sz w:val="28"/>
          <w:szCs w:val="28"/>
          <w:lang w:eastAsia="ru-RU"/>
        </w:rPr>
        <w:t>Дальсвязь</w:t>
      </w:r>
      <w:proofErr w:type="spellEnd"/>
      <w:r w:rsidRPr="00EC20F8">
        <w:rPr>
          <w:rFonts w:ascii="Times New Roman" w:eastAsia="Courier New" w:hAnsi="Times New Roman" w:cs="Times New Roman"/>
          <w:sz w:val="28"/>
          <w:szCs w:val="28"/>
          <w:lang w:eastAsia="ru-RU"/>
        </w:rPr>
        <w:t>», международная телекоммуникационная компания «Теле-2». В настоящее время для улучшения качества предоставляемых услуг операторы «</w:t>
      </w:r>
      <w:proofErr w:type="spellStart"/>
      <w:r w:rsidRPr="00EC20F8">
        <w:rPr>
          <w:rFonts w:ascii="Times New Roman" w:eastAsia="Courier New" w:hAnsi="Times New Roman" w:cs="Times New Roman"/>
          <w:sz w:val="28"/>
          <w:szCs w:val="28"/>
          <w:lang w:eastAsia="ru-RU"/>
        </w:rPr>
        <w:t>Билайн</w:t>
      </w:r>
      <w:proofErr w:type="spellEnd"/>
      <w:r w:rsidRPr="00EC20F8">
        <w:rPr>
          <w:rFonts w:ascii="Times New Roman" w:eastAsia="Courier New" w:hAnsi="Times New Roman" w:cs="Times New Roman"/>
          <w:sz w:val="28"/>
          <w:szCs w:val="28"/>
          <w:lang w:eastAsia="ru-RU"/>
        </w:rPr>
        <w:t>», «МТС» и «</w:t>
      </w:r>
      <w:proofErr w:type="spellStart"/>
      <w:r w:rsidRPr="00EC20F8">
        <w:rPr>
          <w:rFonts w:ascii="Times New Roman" w:eastAsia="Courier New" w:hAnsi="Times New Roman" w:cs="Times New Roman"/>
          <w:sz w:val="28"/>
          <w:szCs w:val="28"/>
          <w:lang w:eastAsia="ru-RU"/>
        </w:rPr>
        <w:t>МегаФон</w:t>
      </w:r>
      <w:proofErr w:type="spellEnd"/>
      <w:r w:rsidRPr="00EC20F8">
        <w:rPr>
          <w:rFonts w:ascii="Times New Roman" w:eastAsia="Courier New" w:hAnsi="Times New Roman" w:cs="Times New Roman"/>
          <w:sz w:val="28"/>
          <w:szCs w:val="28"/>
          <w:lang w:eastAsia="ru-RU"/>
        </w:rPr>
        <w:t>» работают в стандарте сети подвижной радиотелефонной связи третьего поколения UMTS, в то время как остальные операторы продолжают работать в стандарте GSM 900/1800.</w:t>
      </w:r>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В результате развития сотовой связи, и повышения её доступности, доля стационарной телефонной связи постоянно уменьшается. В 2008 году наблюдалось самое большое количество телефонных аппаратов в Петропавловске-Камчатском, в последующие годы наблюдается снижение числа установленных квартирных телефонов. Не смотря на ввод в эксплуатацию новых жилых домов, в 2013 году количество квартирных телефонов снизилось на 9,6</w:t>
      </w:r>
      <w:r w:rsidR="00275612" w:rsidRPr="00EC20F8">
        <w:rPr>
          <w:rFonts w:ascii="Times New Roman" w:eastAsia="Courier New" w:hAnsi="Times New Roman" w:cs="Times New Roman"/>
          <w:sz w:val="28"/>
          <w:szCs w:val="28"/>
          <w:lang w:eastAsia="ru-RU"/>
        </w:rPr>
        <w:t xml:space="preserve"> </w:t>
      </w:r>
      <w:r w:rsidRPr="00EC20F8">
        <w:rPr>
          <w:rFonts w:ascii="Times New Roman" w:eastAsia="Courier New" w:hAnsi="Times New Roman" w:cs="Times New Roman"/>
          <w:sz w:val="28"/>
          <w:szCs w:val="28"/>
          <w:lang w:eastAsia="ru-RU"/>
        </w:rPr>
        <w:t>% или на 5 254 аппарата, по сравнению с 2012 годом (рис 23.1.)</w:t>
      </w:r>
    </w:p>
    <w:p w:rsidR="00660F7A" w:rsidRPr="00EC20F8" w:rsidRDefault="00660F7A" w:rsidP="00660F7A">
      <w:pPr>
        <w:widowControl w:val="0"/>
        <w:spacing w:line="240" w:lineRule="auto"/>
        <w:ind w:firstLine="708"/>
        <w:jc w:val="both"/>
        <w:rPr>
          <w:rFonts w:ascii="Times New Roman" w:eastAsia="Courier New" w:hAnsi="Times New Roman" w:cs="Times New Roman"/>
          <w:sz w:val="28"/>
          <w:szCs w:val="28"/>
          <w:lang w:eastAsia="ru-RU"/>
        </w:rPr>
      </w:pPr>
      <w:r w:rsidRPr="00EC20F8">
        <w:rPr>
          <w:rFonts w:ascii="Courier New" w:eastAsia="Courier New" w:hAnsi="Courier New" w:cs="Courier New"/>
          <w:noProof/>
          <w:sz w:val="24"/>
          <w:szCs w:val="24"/>
          <w:lang w:eastAsia="ru-RU"/>
        </w:rPr>
        <w:drawing>
          <wp:inline distT="0" distB="0" distL="0" distR="0">
            <wp:extent cx="5095875" cy="2743200"/>
            <wp:effectExtent l="19050" t="0" r="9525" b="0"/>
            <wp:docPr id="1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660F7A" w:rsidRPr="00EC20F8" w:rsidRDefault="00660F7A" w:rsidP="00660F7A">
      <w:pPr>
        <w:widowControl w:val="0"/>
        <w:spacing w:line="240" w:lineRule="auto"/>
        <w:ind w:firstLine="708"/>
        <w:jc w:val="center"/>
        <w:rPr>
          <w:rFonts w:ascii="Times New Roman" w:eastAsia="Courier New" w:hAnsi="Times New Roman" w:cs="Times New Roman"/>
          <w:i/>
          <w:sz w:val="24"/>
          <w:szCs w:val="24"/>
          <w:lang w:eastAsia="ru-RU"/>
        </w:rPr>
      </w:pPr>
      <w:r w:rsidRPr="00EC20F8">
        <w:rPr>
          <w:rFonts w:ascii="Times New Roman" w:eastAsia="Courier New" w:hAnsi="Times New Roman" w:cs="Times New Roman"/>
          <w:i/>
          <w:sz w:val="24"/>
          <w:szCs w:val="24"/>
          <w:lang w:eastAsia="ru-RU"/>
        </w:rPr>
        <w:t>Рис. 23.1 Прогнозируемые изменения количества квартирных телефонных аппаратов в городском округе</w:t>
      </w:r>
    </w:p>
    <w:p w:rsidR="00660F7A" w:rsidRPr="00EC20F8" w:rsidRDefault="00660F7A" w:rsidP="00660F7A">
      <w:pPr>
        <w:widowControl w:val="0"/>
        <w:spacing w:line="240" w:lineRule="auto"/>
        <w:ind w:firstLine="708"/>
        <w:jc w:val="both"/>
        <w:rPr>
          <w:rFonts w:ascii="Times New Roman" w:eastAsia="Courier New" w:hAnsi="Times New Roman" w:cs="Times New Roman"/>
          <w:sz w:val="28"/>
          <w:szCs w:val="28"/>
          <w:lang w:eastAsia="ru-RU"/>
        </w:rPr>
      </w:pPr>
      <w:r w:rsidRPr="00EC20F8">
        <w:rPr>
          <w:rFonts w:ascii="Times New Roman" w:eastAsia="Courier New" w:hAnsi="Times New Roman" w:cs="Times New Roman"/>
          <w:sz w:val="28"/>
          <w:szCs w:val="28"/>
          <w:lang w:eastAsia="ru-RU"/>
        </w:rPr>
        <w:t xml:space="preserve">В </w:t>
      </w:r>
      <w:proofErr w:type="gramStart"/>
      <w:r w:rsidRPr="00EC20F8">
        <w:rPr>
          <w:rFonts w:ascii="Times New Roman" w:eastAsia="Courier New" w:hAnsi="Times New Roman" w:cs="Times New Roman"/>
          <w:sz w:val="28"/>
          <w:szCs w:val="28"/>
          <w:lang w:eastAsia="ru-RU"/>
        </w:rPr>
        <w:t>Петропавловск-Камчатском</w:t>
      </w:r>
      <w:proofErr w:type="gramEnd"/>
      <w:r w:rsidRPr="00EC20F8">
        <w:rPr>
          <w:rFonts w:ascii="Times New Roman" w:eastAsia="Courier New" w:hAnsi="Times New Roman" w:cs="Times New Roman"/>
          <w:sz w:val="28"/>
          <w:szCs w:val="28"/>
          <w:lang w:eastAsia="ru-RU"/>
        </w:rPr>
        <w:t xml:space="preserve"> городском округе в 2013 году число таксофонов составило 20 штук. За последние годы их количество постоянно уменьшается ввиду отсутствия спроса, как и в вопросе со стационарной связью, причиной таких изменений является широкое распространение и доступность мобильной (сотовой) связи, которая развива</w:t>
      </w:r>
      <w:bookmarkStart w:id="169" w:name="_Toc368988930"/>
      <w:bookmarkStart w:id="170" w:name="_Toc368930872"/>
      <w:bookmarkStart w:id="171" w:name="_Toc368930248"/>
      <w:r w:rsidRPr="00EC20F8">
        <w:rPr>
          <w:rFonts w:ascii="Times New Roman" w:eastAsia="Courier New" w:hAnsi="Times New Roman" w:cs="Times New Roman"/>
          <w:sz w:val="28"/>
          <w:szCs w:val="28"/>
          <w:lang w:eastAsia="ru-RU"/>
        </w:rPr>
        <w:t xml:space="preserve">ется довольно быстрыми темпами. </w:t>
      </w:r>
    </w:p>
    <w:p w:rsidR="00660F7A" w:rsidRPr="00EC20F8" w:rsidRDefault="00660F7A" w:rsidP="00660F7A">
      <w:pPr>
        <w:widowControl w:val="0"/>
        <w:spacing w:line="240" w:lineRule="auto"/>
        <w:ind w:firstLine="708"/>
        <w:jc w:val="both"/>
        <w:rPr>
          <w:rFonts w:ascii="Times New Roman" w:eastAsia="Courier New" w:hAnsi="Times New Roman" w:cs="Times New Roman"/>
          <w:bCs/>
          <w:sz w:val="28"/>
          <w:szCs w:val="28"/>
          <w:lang w:eastAsia="ru-RU"/>
        </w:rPr>
      </w:pPr>
      <w:r w:rsidRPr="00EC20F8">
        <w:rPr>
          <w:rFonts w:ascii="Times New Roman" w:eastAsia="Courier New" w:hAnsi="Times New Roman" w:cs="Times New Roman"/>
          <w:bCs/>
          <w:sz w:val="28"/>
          <w:szCs w:val="28"/>
          <w:lang w:eastAsia="ru-RU"/>
        </w:rPr>
        <w:t xml:space="preserve">Отрасль продолжает расти значительными темпами. Объем оказанных платных услуг связи  населению городского округа в 2013 году сложился в сумме 4 209,7 </w:t>
      </w:r>
      <w:proofErr w:type="spellStart"/>
      <w:proofErr w:type="gramStart"/>
      <w:r w:rsidRPr="00EC20F8">
        <w:rPr>
          <w:rFonts w:ascii="Times New Roman" w:eastAsia="Courier New" w:hAnsi="Times New Roman" w:cs="Times New Roman"/>
          <w:bCs/>
          <w:sz w:val="28"/>
          <w:szCs w:val="28"/>
          <w:lang w:eastAsia="ru-RU"/>
        </w:rPr>
        <w:t>млн</w:t>
      </w:r>
      <w:proofErr w:type="spellEnd"/>
      <w:proofErr w:type="gramEnd"/>
      <w:r w:rsidRPr="00EC20F8">
        <w:rPr>
          <w:rFonts w:ascii="Times New Roman" w:eastAsia="Courier New" w:hAnsi="Times New Roman" w:cs="Times New Roman"/>
          <w:bCs/>
          <w:sz w:val="28"/>
          <w:szCs w:val="28"/>
          <w:lang w:eastAsia="ru-RU"/>
        </w:rPr>
        <w:t xml:space="preserve"> рублей, против 4039,9 </w:t>
      </w:r>
      <w:proofErr w:type="spellStart"/>
      <w:r w:rsidRPr="00EC20F8">
        <w:rPr>
          <w:rFonts w:ascii="Times New Roman" w:eastAsia="Courier New" w:hAnsi="Times New Roman" w:cs="Times New Roman"/>
          <w:bCs/>
          <w:sz w:val="28"/>
          <w:szCs w:val="28"/>
          <w:lang w:eastAsia="ru-RU"/>
        </w:rPr>
        <w:t>млн</w:t>
      </w:r>
      <w:proofErr w:type="spellEnd"/>
      <w:r w:rsidRPr="00EC20F8">
        <w:rPr>
          <w:rFonts w:ascii="Times New Roman" w:eastAsia="Courier New" w:hAnsi="Times New Roman" w:cs="Times New Roman"/>
          <w:bCs/>
          <w:sz w:val="28"/>
          <w:szCs w:val="28"/>
          <w:lang w:eastAsia="ru-RU"/>
        </w:rPr>
        <w:t xml:space="preserve"> рублей в 2012 году. По оценке объем предоставленных услуг в 2014 год составит 4 578,6 </w:t>
      </w:r>
      <w:proofErr w:type="spellStart"/>
      <w:proofErr w:type="gramStart"/>
      <w:r w:rsidRPr="00EC20F8">
        <w:rPr>
          <w:rFonts w:ascii="Times New Roman" w:eastAsia="Courier New" w:hAnsi="Times New Roman" w:cs="Times New Roman"/>
          <w:bCs/>
          <w:sz w:val="28"/>
          <w:szCs w:val="28"/>
          <w:lang w:eastAsia="ru-RU"/>
        </w:rPr>
        <w:t>млн</w:t>
      </w:r>
      <w:proofErr w:type="spellEnd"/>
      <w:proofErr w:type="gramEnd"/>
      <w:r w:rsidRPr="00EC20F8">
        <w:rPr>
          <w:rFonts w:ascii="Times New Roman" w:eastAsia="Courier New" w:hAnsi="Times New Roman" w:cs="Times New Roman"/>
          <w:bCs/>
          <w:sz w:val="28"/>
          <w:szCs w:val="28"/>
          <w:lang w:eastAsia="ru-RU"/>
        </w:rPr>
        <w:t xml:space="preserve"> рублей.</w:t>
      </w:r>
    </w:p>
    <w:p w:rsidR="00660F7A" w:rsidRPr="00EC20F8" w:rsidRDefault="00660F7A" w:rsidP="00660F7A">
      <w:pPr>
        <w:widowControl w:val="0"/>
        <w:spacing w:line="240" w:lineRule="auto"/>
        <w:ind w:firstLine="708"/>
        <w:jc w:val="both"/>
        <w:rPr>
          <w:rFonts w:ascii="Times New Roman" w:eastAsia="Courier New" w:hAnsi="Times New Roman" w:cs="Times New Roman"/>
          <w:bCs/>
          <w:sz w:val="28"/>
          <w:szCs w:val="28"/>
          <w:lang w:eastAsia="ru-RU"/>
        </w:rPr>
      </w:pPr>
      <w:r w:rsidRPr="00EC20F8">
        <w:rPr>
          <w:rFonts w:ascii="Times New Roman" w:eastAsia="Courier New" w:hAnsi="Times New Roman" w:cs="Times New Roman"/>
          <w:bCs/>
          <w:sz w:val="28"/>
          <w:szCs w:val="28"/>
          <w:lang w:eastAsia="ru-RU"/>
        </w:rPr>
        <w:t xml:space="preserve"> Прогнозируемое значение показателя на 2017 год по первому варианту – 5 255,8 </w:t>
      </w:r>
      <w:proofErr w:type="spellStart"/>
      <w:proofErr w:type="gramStart"/>
      <w:r w:rsidRPr="00EC20F8">
        <w:rPr>
          <w:rFonts w:ascii="Times New Roman" w:eastAsia="Courier New" w:hAnsi="Times New Roman" w:cs="Times New Roman"/>
          <w:bCs/>
          <w:sz w:val="28"/>
          <w:szCs w:val="28"/>
          <w:lang w:eastAsia="ru-RU"/>
        </w:rPr>
        <w:t>млн</w:t>
      </w:r>
      <w:proofErr w:type="spellEnd"/>
      <w:proofErr w:type="gramEnd"/>
      <w:r w:rsidRPr="00EC20F8">
        <w:rPr>
          <w:rFonts w:ascii="Times New Roman" w:eastAsia="Courier New" w:hAnsi="Times New Roman" w:cs="Times New Roman"/>
          <w:bCs/>
          <w:sz w:val="28"/>
          <w:szCs w:val="28"/>
          <w:lang w:eastAsia="ru-RU"/>
        </w:rPr>
        <w:t xml:space="preserve"> рублей, по второму варианту - 5 5498,5 </w:t>
      </w:r>
      <w:proofErr w:type="spellStart"/>
      <w:r w:rsidRPr="00EC20F8">
        <w:rPr>
          <w:rFonts w:ascii="Times New Roman" w:eastAsia="Courier New" w:hAnsi="Times New Roman" w:cs="Times New Roman"/>
          <w:bCs/>
          <w:sz w:val="28"/>
          <w:szCs w:val="28"/>
          <w:lang w:eastAsia="ru-RU"/>
        </w:rPr>
        <w:t>млн</w:t>
      </w:r>
      <w:proofErr w:type="spellEnd"/>
      <w:r w:rsidRPr="00EC20F8">
        <w:rPr>
          <w:rFonts w:ascii="Times New Roman" w:eastAsia="Courier New" w:hAnsi="Times New Roman" w:cs="Times New Roman"/>
          <w:bCs/>
          <w:sz w:val="28"/>
          <w:szCs w:val="28"/>
          <w:lang w:eastAsia="ru-RU"/>
        </w:rPr>
        <w:t xml:space="preserve"> рублей. Индекс физического объема  на 2015-2017 годы прогнозируется на уровне: по первому варианту - 100,0%, 101,0%, 102,0%, соответственно по годам; по второму -102,0%, 103,0%, 104,0%, соответственно по годам.</w:t>
      </w:r>
      <w:bookmarkEnd w:id="169"/>
      <w:bookmarkEnd w:id="170"/>
      <w:bookmarkEnd w:id="171"/>
      <w:r w:rsidRPr="00EC20F8">
        <w:rPr>
          <w:rFonts w:ascii="Times New Roman" w:eastAsia="Courier New" w:hAnsi="Times New Roman" w:cs="Times New Roman"/>
          <w:bCs/>
          <w:sz w:val="28"/>
          <w:szCs w:val="28"/>
          <w:lang w:eastAsia="ru-RU"/>
        </w:rPr>
        <w:t xml:space="preserve"> </w:t>
      </w:r>
    </w:p>
    <w:p w:rsidR="00660F7A" w:rsidRPr="00EC20F8" w:rsidRDefault="00660F7A" w:rsidP="00660F7A">
      <w:pPr>
        <w:widowControl w:val="0"/>
        <w:spacing w:line="240" w:lineRule="auto"/>
        <w:ind w:firstLine="708"/>
        <w:rPr>
          <w:rFonts w:ascii="Times New Roman" w:eastAsia="Courier New" w:hAnsi="Times New Roman" w:cs="Times New Roman"/>
          <w:sz w:val="28"/>
          <w:szCs w:val="28"/>
          <w:lang w:eastAsia="ru-RU"/>
        </w:rPr>
      </w:pPr>
    </w:p>
    <w:p w:rsidR="00660F7A" w:rsidRPr="00EC20F8" w:rsidRDefault="00660F7A" w:rsidP="00660F7A">
      <w:pPr>
        <w:widowControl w:val="0"/>
        <w:spacing w:line="240" w:lineRule="auto"/>
        <w:ind w:firstLine="709"/>
        <w:jc w:val="both"/>
        <w:rPr>
          <w:rFonts w:ascii="Times New Roman" w:eastAsia="Courier New" w:hAnsi="Times New Roman" w:cs="Times New Roman"/>
          <w:sz w:val="28"/>
          <w:szCs w:val="28"/>
          <w:lang w:eastAsia="ru-RU"/>
        </w:rPr>
      </w:pPr>
    </w:p>
    <w:p w:rsidR="00660F7A" w:rsidRPr="00EC20F8" w:rsidRDefault="00660F7A" w:rsidP="00660F7A">
      <w:pPr>
        <w:widowControl w:val="0"/>
        <w:spacing w:line="240" w:lineRule="auto"/>
        <w:ind w:firstLine="708"/>
        <w:rPr>
          <w:rFonts w:ascii="Times New Roman" w:eastAsia="Courier New" w:hAnsi="Times New Roman" w:cs="Times New Roman"/>
          <w:sz w:val="28"/>
          <w:szCs w:val="28"/>
          <w:lang w:eastAsia="ru-RU"/>
        </w:rPr>
      </w:pPr>
    </w:p>
    <w:p w:rsidR="00660F7A" w:rsidRPr="00EC20F8" w:rsidRDefault="00660F7A" w:rsidP="00660F7A">
      <w:pPr>
        <w:widowControl w:val="0"/>
        <w:spacing w:line="240" w:lineRule="auto"/>
        <w:rPr>
          <w:rFonts w:ascii="Courier New" w:eastAsia="Courier New" w:hAnsi="Courier New" w:cs="Courier New"/>
          <w:sz w:val="24"/>
          <w:szCs w:val="24"/>
          <w:lang w:eastAsia="ru-RU"/>
        </w:rPr>
      </w:pPr>
    </w:p>
    <w:p w:rsidR="00AE693C" w:rsidRPr="00EC20F8" w:rsidRDefault="00AE693C" w:rsidP="00F31AB5">
      <w:pPr>
        <w:spacing w:line="240" w:lineRule="auto"/>
        <w:ind w:firstLine="709"/>
        <w:jc w:val="both"/>
        <w:rPr>
          <w:rFonts w:ascii="Times New Roman" w:hAnsi="Times New Roman" w:cs="Times New Roman"/>
          <w:b/>
          <w:sz w:val="28"/>
          <w:szCs w:val="28"/>
        </w:rPr>
      </w:pPr>
    </w:p>
    <w:sectPr w:rsidR="00AE693C" w:rsidRPr="00EC20F8" w:rsidSect="0014344F">
      <w:footerReference w:type="default" r:id="rId4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71FF" w:rsidRDefault="009071FF" w:rsidP="0014344F">
      <w:pPr>
        <w:spacing w:line="240" w:lineRule="auto"/>
      </w:pPr>
      <w:r>
        <w:separator/>
      </w:r>
    </w:p>
  </w:endnote>
  <w:endnote w:type="continuationSeparator" w:id="0">
    <w:p w:rsidR="009071FF" w:rsidRDefault="009071FF" w:rsidP="0014344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TimesNewRoman">
    <w:altName w:val="MS Mincho"/>
    <w:panose1 w:val="00000000000000000000"/>
    <w:charset w:val="80"/>
    <w:family w:val="auto"/>
    <w:notTrueType/>
    <w:pitch w:val="default"/>
    <w:sig w:usb0="00000001" w:usb1="08070000" w:usb2="00000010" w:usb3="00000000" w:csb0="00020000" w:csb1="00000000"/>
  </w:font>
  <w:font w:name="T3Font_5">
    <w:altName w:val="MS Gothic"/>
    <w:panose1 w:val="00000000000000000000"/>
    <w:charset w:val="80"/>
    <w:family w:val="swiss"/>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7454"/>
    </w:sdtPr>
    <w:sdtContent>
      <w:p w:rsidR="009071FF" w:rsidRDefault="009071FF">
        <w:pPr>
          <w:pStyle w:val="ac"/>
          <w:jc w:val="center"/>
        </w:pPr>
        <w:fldSimple w:instr=" PAGE   \* MERGEFORMAT ">
          <w:r w:rsidR="00F10C84">
            <w:rPr>
              <w:noProof/>
            </w:rPr>
            <w:t>2</w:t>
          </w:r>
        </w:fldSimple>
      </w:p>
    </w:sdtContent>
  </w:sdt>
  <w:p w:rsidR="009071FF" w:rsidRDefault="009071FF">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71FF" w:rsidRDefault="009071FF" w:rsidP="0014344F">
      <w:pPr>
        <w:spacing w:line="240" w:lineRule="auto"/>
      </w:pPr>
      <w:r>
        <w:separator/>
      </w:r>
    </w:p>
  </w:footnote>
  <w:footnote w:type="continuationSeparator" w:id="0">
    <w:p w:rsidR="009071FF" w:rsidRDefault="009071FF" w:rsidP="0014344F">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FD49918"/>
    <w:lvl w:ilvl="0">
      <w:numFmt w:val="bullet"/>
      <w:lvlText w:val="*"/>
      <w:lvlJc w:val="left"/>
    </w:lvl>
  </w:abstractNum>
  <w:abstractNum w:abstractNumId="1">
    <w:nsid w:val="01204553"/>
    <w:multiLevelType w:val="hybridMultilevel"/>
    <w:tmpl w:val="ACF81D44"/>
    <w:lvl w:ilvl="0" w:tplc="20F81882">
      <w:start w:val="2"/>
      <w:numFmt w:val="decimal"/>
      <w:lvlText w:val="%1)"/>
      <w:lvlJc w:val="left"/>
      <w:pPr>
        <w:ind w:left="2074" w:hanging="360"/>
      </w:pPr>
      <w:rPr>
        <w:rFonts w:hint="default"/>
        <w:b w:val="0"/>
      </w:rPr>
    </w:lvl>
    <w:lvl w:ilvl="1" w:tplc="04190019" w:tentative="1">
      <w:start w:val="1"/>
      <w:numFmt w:val="lowerLetter"/>
      <w:lvlText w:val="%2."/>
      <w:lvlJc w:val="left"/>
      <w:pPr>
        <w:ind w:left="2794" w:hanging="360"/>
      </w:pPr>
    </w:lvl>
    <w:lvl w:ilvl="2" w:tplc="0419001B" w:tentative="1">
      <w:start w:val="1"/>
      <w:numFmt w:val="lowerRoman"/>
      <w:lvlText w:val="%3."/>
      <w:lvlJc w:val="right"/>
      <w:pPr>
        <w:ind w:left="3514" w:hanging="180"/>
      </w:pPr>
    </w:lvl>
    <w:lvl w:ilvl="3" w:tplc="0419000F" w:tentative="1">
      <w:start w:val="1"/>
      <w:numFmt w:val="decimal"/>
      <w:lvlText w:val="%4."/>
      <w:lvlJc w:val="left"/>
      <w:pPr>
        <w:ind w:left="4234" w:hanging="360"/>
      </w:pPr>
    </w:lvl>
    <w:lvl w:ilvl="4" w:tplc="04190019" w:tentative="1">
      <w:start w:val="1"/>
      <w:numFmt w:val="lowerLetter"/>
      <w:lvlText w:val="%5."/>
      <w:lvlJc w:val="left"/>
      <w:pPr>
        <w:ind w:left="4954" w:hanging="360"/>
      </w:pPr>
    </w:lvl>
    <w:lvl w:ilvl="5" w:tplc="0419001B" w:tentative="1">
      <w:start w:val="1"/>
      <w:numFmt w:val="lowerRoman"/>
      <w:lvlText w:val="%6."/>
      <w:lvlJc w:val="right"/>
      <w:pPr>
        <w:ind w:left="5674" w:hanging="180"/>
      </w:pPr>
    </w:lvl>
    <w:lvl w:ilvl="6" w:tplc="0419000F" w:tentative="1">
      <w:start w:val="1"/>
      <w:numFmt w:val="decimal"/>
      <w:lvlText w:val="%7."/>
      <w:lvlJc w:val="left"/>
      <w:pPr>
        <w:ind w:left="6394" w:hanging="360"/>
      </w:pPr>
    </w:lvl>
    <w:lvl w:ilvl="7" w:tplc="04190019" w:tentative="1">
      <w:start w:val="1"/>
      <w:numFmt w:val="lowerLetter"/>
      <w:lvlText w:val="%8."/>
      <w:lvlJc w:val="left"/>
      <w:pPr>
        <w:ind w:left="7114" w:hanging="360"/>
      </w:pPr>
    </w:lvl>
    <w:lvl w:ilvl="8" w:tplc="0419001B" w:tentative="1">
      <w:start w:val="1"/>
      <w:numFmt w:val="lowerRoman"/>
      <w:lvlText w:val="%9."/>
      <w:lvlJc w:val="right"/>
      <w:pPr>
        <w:ind w:left="7834" w:hanging="180"/>
      </w:pPr>
    </w:lvl>
  </w:abstractNum>
  <w:abstractNum w:abstractNumId="2">
    <w:nsid w:val="0B6D7DE3"/>
    <w:multiLevelType w:val="multilevel"/>
    <w:tmpl w:val="D03C2F10"/>
    <w:lvl w:ilvl="0">
      <w:start w:val="1"/>
      <w:numFmt w:val="decimal"/>
      <w:lvlText w:val="%1."/>
      <w:lvlJc w:val="left"/>
      <w:pPr>
        <w:ind w:left="928" w:hanging="360"/>
      </w:pPr>
      <w:rPr>
        <w:rFonts w:hint="default"/>
      </w:rPr>
    </w:lvl>
    <w:lvl w:ilvl="1">
      <w:start w:val="3"/>
      <w:numFmt w:val="decimal"/>
      <w:isLgl/>
      <w:lvlText w:val="%1.%2."/>
      <w:lvlJc w:val="left"/>
      <w:pPr>
        <w:ind w:left="1998" w:hanging="720"/>
      </w:pPr>
      <w:rPr>
        <w:rFonts w:hint="default"/>
      </w:rPr>
    </w:lvl>
    <w:lvl w:ilvl="2">
      <w:start w:val="1"/>
      <w:numFmt w:val="decimal"/>
      <w:isLgl/>
      <w:lvlText w:val="%1.%2.%3."/>
      <w:lvlJc w:val="left"/>
      <w:pPr>
        <w:ind w:left="2848" w:hanging="720"/>
      </w:pPr>
      <w:rPr>
        <w:rFonts w:hint="default"/>
      </w:rPr>
    </w:lvl>
    <w:lvl w:ilvl="3">
      <w:start w:val="1"/>
      <w:numFmt w:val="decimal"/>
      <w:isLgl/>
      <w:lvlText w:val="%1.%2.%3.%4."/>
      <w:lvlJc w:val="left"/>
      <w:pPr>
        <w:ind w:left="3208" w:hanging="1080"/>
      </w:pPr>
      <w:rPr>
        <w:rFonts w:hint="default"/>
      </w:rPr>
    </w:lvl>
    <w:lvl w:ilvl="4">
      <w:start w:val="1"/>
      <w:numFmt w:val="decimal"/>
      <w:isLgl/>
      <w:lvlText w:val="%1.%2.%3.%4.%5."/>
      <w:lvlJc w:val="left"/>
      <w:pPr>
        <w:ind w:left="3208" w:hanging="1080"/>
      </w:pPr>
      <w:rPr>
        <w:rFonts w:hint="default"/>
      </w:rPr>
    </w:lvl>
    <w:lvl w:ilvl="5">
      <w:start w:val="1"/>
      <w:numFmt w:val="decimal"/>
      <w:isLgl/>
      <w:lvlText w:val="%1.%2.%3.%4.%5.%6."/>
      <w:lvlJc w:val="left"/>
      <w:pPr>
        <w:ind w:left="3568" w:hanging="1440"/>
      </w:pPr>
      <w:rPr>
        <w:rFonts w:hint="default"/>
      </w:rPr>
    </w:lvl>
    <w:lvl w:ilvl="6">
      <w:start w:val="1"/>
      <w:numFmt w:val="decimal"/>
      <w:isLgl/>
      <w:lvlText w:val="%1.%2.%3.%4.%5.%6.%7."/>
      <w:lvlJc w:val="left"/>
      <w:pPr>
        <w:ind w:left="3928" w:hanging="1800"/>
      </w:pPr>
      <w:rPr>
        <w:rFonts w:hint="default"/>
      </w:rPr>
    </w:lvl>
    <w:lvl w:ilvl="7">
      <w:start w:val="1"/>
      <w:numFmt w:val="decimal"/>
      <w:isLgl/>
      <w:lvlText w:val="%1.%2.%3.%4.%5.%6.%7.%8."/>
      <w:lvlJc w:val="left"/>
      <w:pPr>
        <w:ind w:left="3928" w:hanging="1800"/>
      </w:pPr>
      <w:rPr>
        <w:rFonts w:hint="default"/>
      </w:rPr>
    </w:lvl>
    <w:lvl w:ilvl="8">
      <w:start w:val="1"/>
      <w:numFmt w:val="decimal"/>
      <w:isLgl/>
      <w:lvlText w:val="%1.%2.%3.%4.%5.%6.%7.%8.%9."/>
      <w:lvlJc w:val="left"/>
      <w:pPr>
        <w:ind w:left="4288" w:hanging="2160"/>
      </w:pPr>
      <w:rPr>
        <w:rFonts w:hint="default"/>
      </w:rPr>
    </w:lvl>
  </w:abstractNum>
  <w:abstractNum w:abstractNumId="3">
    <w:nsid w:val="18633FE6"/>
    <w:multiLevelType w:val="singleLevel"/>
    <w:tmpl w:val="363025CE"/>
    <w:lvl w:ilvl="0">
      <w:numFmt w:val="bullet"/>
      <w:lvlText w:val="-"/>
      <w:lvlJc w:val="left"/>
    </w:lvl>
  </w:abstractNum>
  <w:abstractNum w:abstractNumId="4">
    <w:nsid w:val="1AF43A45"/>
    <w:multiLevelType w:val="hybridMultilevel"/>
    <w:tmpl w:val="CB40D00E"/>
    <w:lvl w:ilvl="0" w:tplc="8B1AFB2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nsid w:val="1E4441C6"/>
    <w:multiLevelType w:val="hybridMultilevel"/>
    <w:tmpl w:val="718A3B38"/>
    <w:lvl w:ilvl="0" w:tplc="AEBCEA32">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2931D7E"/>
    <w:multiLevelType w:val="hybridMultilevel"/>
    <w:tmpl w:val="5E64BADC"/>
    <w:lvl w:ilvl="0" w:tplc="7980A76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4591DBF"/>
    <w:multiLevelType w:val="hybridMultilevel"/>
    <w:tmpl w:val="D7103594"/>
    <w:lvl w:ilvl="0" w:tplc="01C2E4D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9222C69"/>
    <w:multiLevelType w:val="singleLevel"/>
    <w:tmpl w:val="FE220E82"/>
    <w:lvl w:ilvl="0">
      <w:numFmt w:val="bullet"/>
      <w:lvlText w:val="-"/>
      <w:lvlJc w:val="left"/>
    </w:lvl>
  </w:abstractNum>
  <w:abstractNum w:abstractNumId="9">
    <w:nsid w:val="39D4472B"/>
    <w:multiLevelType w:val="hybridMultilevel"/>
    <w:tmpl w:val="912CDCFE"/>
    <w:lvl w:ilvl="0" w:tplc="A3FC62C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52B9556F"/>
    <w:multiLevelType w:val="hybridMultilevel"/>
    <w:tmpl w:val="99B06B5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35A7225"/>
    <w:multiLevelType w:val="multilevel"/>
    <w:tmpl w:val="AB78903A"/>
    <w:lvl w:ilvl="0">
      <w:start w:val="1"/>
      <w:numFmt w:val="decimal"/>
      <w:lvlText w:val="%1."/>
      <w:lvlJc w:val="left"/>
      <w:pPr>
        <w:ind w:left="754" w:hanging="360"/>
      </w:pPr>
    </w:lvl>
    <w:lvl w:ilvl="1">
      <w:start w:val="1"/>
      <w:numFmt w:val="decimal"/>
      <w:isLgl/>
      <w:lvlText w:val="%1.%2."/>
      <w:lvlJc w:val="left"/>
      <w:pPr>
        <w:ind w:left="1954" w:hanging="1245"/>
      </w:pPr>
      <w:rPr>
        <w:rFonts w:hint="default"/>
      </w:rPr>
    </w:lvl>
    <w:lvl w:ilvl="2">
      <w:start w:val="1"/>
      <w:numFmt w:val="decimal"/>
      <w:isLgl/>
      <w:lvlText w:val="%1.%2.%3."/>
      <w:lvlJc w:val="left"/>
      <w:pPr>
        <w:ind w:left="2269" w:hanging="1245"/>
      </w:pPr>
      <w:rPr>
        <w:rFonts w:hint="default"/>
      </w:rPr>
    </w:lvl>
    <w:lvl w:ilvl="3">
      <w:start w:val="1"/>
      <w:numFmt w:val="decimal"/>
      <w:isLgl/>
      <w:lvlText w:val="%1.%2.%3.%4."/>
      <w:lvlJc w:val="left"/>
      <w:pPr>
        <w:ind w:left="2584" w:hanging="1245"/>
      </w:pPr>
      <w:rPr>
        <w:rFonts w:hint="default"/>
      </w:rPr>
    </w:lvl>
    <w:lvl w:ilvl="4">
      <w:start w:val="1"/>
      <w:numFmt w:val="decimal"/>
      <w:isLgl/>
      <w:lvlText w:val="%1.%2.%3.%4.%5."/>
      <w:lvlJc w:val="left"/>
      <w:pPr>
        <w:ind w:left="2899" w:hanging="1245"/>
      </w:pPr>
      <w:rPr>
        <w:rFonts w:hint="default"/>
      </w:rPr>
    </w:lvl>
    <w:lvl w:ilvl="5">
      <w:start w:val="1"/>
      <w:numFmt w:val="decimal"/>
      <w:isLgl/>
      <w:lvlText w:val="%1.%2.%3.%4.%5.%6."/>
      <w:lvlJc w:val="left"/>
      <w:pPr>
        <w:ind w:left="3409" w:hanging="1440"/>
      </w:pPr>
      <w:rPr>
        <w:rFonts w:hint="default"/>
      </w:rPr>
    </w:lvl>
    <w:lvl w:ilvl="6">
      <w:start w:val="1"/>
      <w:numFmt w:val="decimal"/>
      <w:isLgl/>
      <w:lvlText w:val="%1.%2.%3.%4.%5.%6.%7."/>
      <w:lvlJc w:val="left"/>
      <w:pPr>
        <w:ind w:left="4084" w:hanging="1800"/>
      </w:pPr>
      <w:rPr>
        <w:rFonts w:hint="default"/>
      </w:rPr>
    </w:lvl>
    <w:lvl w:ilvl="7">
      <w:start w:val="1"/>
      <w:numFmt w:val="decimal"/>
      <w:isLgl/>
      <w:lvlText w:val="%1.%2.%3.%4.%5.%6.%7.%8."/>
      <w:lvlJc w:val="left"/>
      <w:pPr>
        <w:ind w:left="4399" w:hanging="1800"/>
      </w:pPr>
      <w:rPr>
        <w:rFonts w:hint="default"/>
      </w:rPr>
    </w:lvl>
    <w:lvl w:ilvl="8">
      <w:start w:val="1"/>
      <w:numFmt w:val="decimal"/>
      <w:isLgl/>
      <w:lvlText w:val="%1.%2.%3.%4.%5.%6.%7.%8.%9."/>
      <w:lvlJc w:val="left"/>
      <w:pPr>
        <w:ind w:left="5074" w:hanging="2160"/>
      </w:pPr>
      <w:rPr>
        <w:rFonts w:hint="default"/>
      </w:rPr>
    </w:lvl>
  </w:abstractNum>
  <w:abstractNum w:abstractNumId="12">
    <w:nsid w:val="53C742D5"/>
    <w:multiLevelType w:val="multilevel"/>
    <w:tmpl w:val="A7DC253C"/>
    <w:lvl w:ilvl="0">
      <w:start w:val="1"/>
      <w:numFmt w:val="decimal"/>
      <w:lvlText w:val="%1."/>
      <w:lvlJc w:val="left"/>
      <w:pPr>
        <w:tabs>
          <w:tab w:val="num" w:pos="1068"/>
        </w:tabs>
        <w:ind w:left="1068" w:hanging="360"/>
      </w:pPr>
      <w:rPr>
        <w:rFonts w:hint="default"/>
      </w:rPr>
    </w:lvl>
    <w:lvl w:ilvl="1">
      <w:start w:val="1"/>
      <w:numFmt w:val="decimal"/>
      <w:isLgl/>
      <w:lvlText w:val="%1.%2."/>
      <w:lvlJc w:val="left"/>
      <w:pPr>
        <w:ind w:left="2022" w:hanging="720"/>
      </w:pPr>
      <w:rPr>
        <w:rFonts w:hint="default"/>
      </w:rPr>
    </w:lvl>
    <w:lvl w:ilvl="2">
      <w:start w:val="1"/>
      <w:numFmt w:val="decimal"/>
      <w:isLgl/>
      <w:lvlText w:val="%1.%2.%3."/>
      <w:lvlJc w:val="left"/>
      <w:pPr>
        <w:ind w:left="2616" w:hanging="720"/>
      </w:pPr>
      <w:rPr>
        <w:rFonts w:hint="default"/>
      </w:rPr>
    </w:lvl>
    <w:lvl w:ilvl="3">
      <w:start w:val="1"/>
      <w:numFmt w:val="decimal"/>
      <w:isLgl/>
      <w:lvlText w:val="%1.%2.%3.%4."/>
      <w:lvlJc w:val="left"/>
      <w:pPr>
        <w:ind w:left="3570" w:hanging="1080"/>
      </w:pPr>
      <w:rPr>
        <w:rFonts w:hint="default"/>
      </w:rPr>
    </w:lvl>
    <w:lvl w:ilvl="4">
      <w:start w:val="1"/>
      <w:numFmt w:val="decimal"/>
      <w:isLgl/>
      <w:lvlText w:val="%1.%2.%3.%4.%5."/>
      <w:lvlJc w:val="left"/>
      <w:pPr>
        <w:ind w:left="4164" w:hanging="1080"/>
      </w:pPr>
      <w:rPr>
        <w:rFonts w:hint="default"/>
      </w:rPr>
    </w:lvl>
    <w:lvl w:ilvl="5">
      <w:start w:val="1"/>
      <w:numFmt w:val="decimal"/>
      <w:isLgl/>
      <w:lvlText w:val="%1.%2.%3.%4.%5.%6."/>
      <w:lvlJc w:val="left"/>
      <w:pPr>
        <w:ind w:left="5118" w:hanging="1440"/>
      </w:pPr>
      <w:rPr>
        <w:rFonts w:hint="default"/>
      </w:rPr>
    </w:lvl>
    <w:lvl w:ilvl="6">
      <w:start w:val="1"/>
      <w:numFmt w:val="decimal"/>
      <w:isLgl/>
      <w:lvlText w:val="%1.%2.%3.%4.%5.%6.%7."/>
      <w:lvlJc w:val="left"/>
      <w:pPr>
        <w:ind w:left="6072" w:hanging="1800"/>
      </w:pPr>
      <w:rPr>
        <w:rFonts w:hint="default"/>
      </w:rPr>
    </w:lvl>
    <w:lvl w:ilvl="7">
      <w:start w:val="1"/>
      <w:numFmt w:val="decimal"/>
      <w:isLgl/>
      <w:lvlText w:val="%1.%2.%3.%4.%5.%6.%7.%8."/>
      <w:lvlJc w:val="left"/>
      <w:pPr>
        <w:ind w:left="6666" w:hanging="1800"/>
      </w:pPr>
      <w:rPr>
        <w:rFonts w:hint="default"/>
      </w:rPr>
    </w:lvl>
    <w:lvl w:ilvl="8">
      <w:start w:val="1"/>
      <w:numFmt w:val="decimal"/>
      <w:isLgl/>
      <w:lvlText w:val="%1.%2.%3.%4.%5.%6.%7.%8.%9."/>
      <w:lvlJc w:val="left"/>
      <w:pPr>
        <w:ind w:left="7620" w:hanging="2160"/>
      </w:pPr>
      <w:rPr>
        <w:rFonts w:hint="default"/>
      </w:rPr>
    </w:lvl>
  </w:abstractNum>
  <w:abstractNum w:abstractNumId="13">
    <w:nsid w:val="61F425B0"/>
    <w:multiLevelType w:val="hybridMultilevel"/>
    <w:tmpl w:val="159426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3685BB3"/>
    <w:multiLevelType w:val="hybridMultilevel"/>
    <w:tmpl w:val="7532A44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5">
    <w:nsid w:val="7ADA477E"/>
    <w:multiLevelType w:val="hybridMultilevel"/>
    <w:tmpl w:val="E5523E7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0"/>
    <w:lvlOverride w:ilvl="0">
      <w:lvl w:ilvl="0">
        <w:start w:val="65535"/>
        <w:numFmt w:val="bullet"/>
        <w:lvlText w:val="-"/>
        <w:legacy w:legacy="1" w:legacySpace="0" w:legacyIndent="255"/>
        <w:lvlJc w:val="left"/>
        <w:rPr>
          <w:rFonts w:ascii="Times New Roman" w:hAnsi="Times New Roman" w:cs="Times New Roman" w:hint="default"/>
        </w:rPr>
      </w:lvl>
    </w:lvlOverride>
  </w:num>
  <w:num w:numId="3">
    <w:abstractNumId w:val="8"/>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0"/>
  </w:num>
  <w:num w:numId="7">
    <w:abstractNumId w:val="12"/>
  </w:num>
  <w:num w:numId="8">
    <w:abstractNumId w:val="6"/>
  </w:num>
  <w:num w:numId="9">
    <w:abstractNumId w:val="7"/>
  </w:num>
  <w:num w:numId="10">
    <w:abstractNumId w:val="14"/>
  </w:num>
  <w:num w:numId="11">
    <w:abstractNumId w:val="5"/>
  </w:num>
  <w:num w:numId="12">
    <w:abstractNumId w:val="1"/>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4344F"/>
    <w:rsid w:val="00000DA1"/>
    <w:rsid w:val="00003344"/>
    <w:rsid w:val="000058E3"/>
    <w:rsid w:val="0002086F"/>
    <w:rsid w:val="000223DC"/>
    <w:rsid w:val="00023AC7"/>
    <w:rsid w:val="00026D30"/>
    <w:rsid w:val="000334BA"/>
    <w:rsid w:val="00050B76"/>
    <w:rsid w:val="0005572C"/>
    <w:rsid w:val="00056A5F"/>
    <w:rsid w:val="000631F3"/>
    <w:rsid w:val="000634A1"/>
    <w:rsid w:val="000663EB"/>
    <w:rsid w:val="00091A17"/>
    <w:rsid w:val="0009546A"/>
    <w:rsid w:val="000B1E05"/>
    <w:rsid w:val="000C3B8D"/>
    <w:rsid w:val="000C62EF"/>
    <w:rsid w:val="000D1024"/>
    <w:rsid w:val="000D7AE3"/>
    <w:rsid w:val="0014344F"/>
    <w:rsid w:val="00153BA5"/>
    <w:rsid w:val="00160698"/>
    <w:rsid w:val="00163536"/>
    <w:rsid w:val="00174A45"/>
    <w:rsid w:val="0019197A"/>
    <w:rsid w:val="001A10DA"/>
    <w:rsid w:val="001A38D4"/>
    <w:rsid w:val="001A5225"/>
    <w:rsid w:val="001B0C3F"/>
    <w:rsid w:val="001B3F4F"/>
    <w:rsid w:val="001B413D"/>
    <w:rsid w:val="001B6BC8"/>
    <w:rsid w:val="001C2AC9"/>
    <w:rsid w:val="001C3356"/>
    <w:rsid w:val="001C3379"/>
    <w:rsid w:val="001C7891"/>
    <w:rsid w:val="001D0E43"/>
    <w:rsid w:val="001F0460"/>
    <w:rsid w:val="00202941"/>
    <w:rsid w:val="00202BBE"/>
    <w:rsid w:val="00206480"/>
    <w:rsid w:val="00207AE1"/>
    <w:rsid w:val="00210F3F"/>
    <w:rsid w:val="00220915"/>
    <w:rsid w:val="00233203"/>
    <w:rsid w:val="0023426C"/>
    <w:rsid w:val="0026092F"/>
    <w:rsid w:val="00267B83"/>
    <w:rsid w:val="0027092D"/>
    <w:rsid w:val="00271ECF"/>
    <w:rsid w:val="00275612"/>
    <w:rsid w:val="00275915"/>
    <w:rsid w:val="00282B2C"/>
    <w:rsid w:val="00296F19"/>
    <w:rsid w:val="002A3D49"/>
    <w:rsid w:val="002B7005"/>
    <w:rsid w:val="002C2973"/>
    <w:rsid w:val="002F64C0"/>
    <w:rsid w:val="002F78BE"/>
    <w:rsid w:val="00300682"/>
    <w:rsid w:val="00302443"/>
    <w:rsid w:val="00305922"/>
    <w:rsid w:val="00310AFF"/>
    <w:rsid w:val="00311124"/>
    <w:rsid w:val="003257B1"/>
    <w:rsid w:val="00344EFF"/>
    <w:rsid w:val="00375FE9"/>
    <w:rsid w:val="0038414B"/>
    <w:rsid w:val="00391F2B"/>
    <w:rsid w:val="003941C6"/>
    <w:rsid w:val="00397D68"/>
    <w:rsid w:val="003A01B2"/>
    <w:rsid w:val="003A124B"/>
    <w:rsid w:val="003A4F78"/>
    <w:rsid w:val="003C15AD"/>
    <w:rsid w:val="003C52C6"/>
    <w:rsid w:val="003E40C3"/>
    <w:rsid w:val="003F51D6"/>
    <w:rsid w:val="00406290"/>
    <w:rsid w:val="004271AF"/>
    <w:rsid w:val="004422C4"/>
    <w:rsid w:val="00463B7E"/>
    <w:rsid w:val="00470DCD"/>
    <w:rsid w:val="004871C3"/>
    <w:rsid w:val="004B4455"/>
    <w:rsid w:val="004B77B9"/>
    <w:rsid w:val="004C268B"/>
    <w:rsid w:val="004C38EA"/>
    <w:rsid w:val="004C58B2"/>
    <w:rsid w:val="004C6E40"/>
    <w:rsid w:val="004D4CA0"/>
    <w:rsid w:val="004F7668"/>
    <w:rsid w:val="00506D21"/>
    <w:rsid w:val="00506F98"/>
    <w:rsid w:val="00511BAE"/>
    <w:rsid w:val="00530386"/>
    <w:rsid w:val="00537C25"/>
    <w:rsid w:val="005453F2"/>
    <w:rsid w:val="00550D90"/>
    <w:rsid w:val="0056573F"/>
    <w:rsid w:val="005713EE"/>
    <w:rsid w:val="005845F7"/>
    <w:rsid w:val="005A42A4"/>
    <w:rsid w:val="005B055D"/>
    <w:rsid w:val="005C4C98"/>
    <w:rsid w:val="005F0B10"/>
    <w:rsid w:val="005F229E"/>
    <w:rsid w:val="00606D34"/>
    <w:rsid w:val="00610ECB"/>
    <w:rsid w:val="00612D7C"/>
    <w:rsid w:val="006167D3"/>
    <w:rsid w:val="00617753"/>
    <w:rsid w:val="00623E51"/>
    <w:rsid w:val="006328B7"/>
    <w:rsid w:val="00633471"/>
    <w:rsid w:val="00644F9F"/>
    <w:rsid w:val="0064550E"/>
    <w:rsid w:val="0064745D"/>
    <w:rsid w:val="00660F7A"/>
    <w:rsid w:val="006630F9"/>
    <w:rsid w:val="00663F2E"/>
    <w:rsid w:val="00663F57"/>
    <w:rsid w:val="006A2C1B"/>
    <w:rsid w:val="006A535C"/>
    <w:rsid w:val="006B0271"/>
    <w:rsid w:val="006C1F50"/>
    <w:rsid w:val="006C3170"/>
    <w:rsid w:val="006C5964"/>
    <w:rsid w:val="006D0E9E"/>
    <w:rsid w:val="006D6E02"/>
    <w:rsid w:val="006D763A"/>
    <w:rsid w:val="006E725A"/>
    <w:rsid w:val="006F3863"/>
    <w:rsid w:val="007027FE"/>
    <w:rsid w:val="00705957"/>
    <w:rsid w:val="00705BDF"/>
    <w:rsid w:val="00706B4B"/>
    <w:rsid w:val="00714B4D"/>
    <w:rsid w:val="0073001D"/>
    <w:rsid w:val="00737AD6"/>
    <w:rsid w:val="007600B8"/>
    <w:rsid w:val="00767D46"/>
    <w:rsid w:val="00791A47"/>
    <w:rsid w:val="007A2F15"/>
    <w:rsid w:val="007A3A38"/>
    <w:rsid w:val="007A3C74"/>
    <w:rsid w:val="007B255B"/>
    <w:rsid w:val="007C19FC"/>
    <w:rsid w:val="007D00F3"/>
    <w:rsid w:val="007D7309"/>
    <w:rsid w:val="007E03DA"/>
    <w:rsid w:val="007E2A2B"/>
    <w:rsid w:val="007F7269"/>
    <w:rsid w:val="00802A73"/>
    <w:rsid w:val="0080621B"/>
    <w:rsid w:val="008316EC"/>
    <w:rsid w:val="00837F80"/>
    <w:rsid w:val="008428B6"/>
    <w:rsid w:val="00842B42"/>
    <w:rsid w:val="00883876"/>
    <w:rsid w:val="00890A99"/>
    <w:rsid w:val="008A2288"/>
    <w:rsid w:val="008A67F6"/>
    <w:rsid w:val="008B4102"/>
    <w:rsid w:val="008C00D3"/>
    <w:rsid w:val="008D1046"/>
    <w:rsid w:val="008D7F59"/>
    <w:rsid w:val="008E02D8"/>
    <w:rsid w:val="008E15B4"/>
    <w:rsid w:val="00905BC2"/>
    <w:rsid w:val="00905D0F"/>
    <w:rsid w:val="009071FF"/>
    <w:rsid w:val="00914E61"/>
    <w:rsid w:val="00927D1B"/>
    <w:rsid w:val="00931817"/>
    <w:rsid w:val="00932AC5"/>
    <w:rsid w:val="00943C4B"/>
    <w:rsid w:val="00946A83"/>
    <w:rsid w:val="00960E11"/>
    <w:rsid w:val="00971014"/>
    <w:rsid w:val="00976E57"/>
    <w:rsid w:val="00980FB0"/>
    <w:rsid w:val="00990336"/>
    <w:rsid w:val="00990E00"/>
    <w:rsid w:val="009930FB"/>
    <w:rsid w:val="009A5AA2"/>
    <w:rsid w:val="009C2C21"/>
    <w:rsid w:val="009C56C2"/>
    <w:rsid w:val="009D1533"/>
    <w:rsid w:val="009F2E05"/>
    <w:rsid w:val="009F2FE3"/>
    <w:rsid w:val="00A01031"/>
    <w:rsid w:val="00A0596C"/>
    <w:rsid w:val="00A11666"/>
    <w:rsid w:val="00A25268"/>
    <w:rsid w:val="00A26000"/>
    <w:rsid w:val="00A31450"/>
    <w:rsid w:val="00A4673E"/>
    <w:rsid w:val="00A47722"/>
    <w:rsid w:val="00A60473"/>
    <w:rsid w:val="00A6380D"/>
    <w:rsid w:val="00A678F0"/>
    <w:rsid w:val="00AB0B96"/>
    <w:rsid w:val="00AC0D96"/>
    <w:rsid w:val="00AD14BF"/>
    <w:rsid w:val="00AE18B9"/>
    <w:rsid w:val="00AE693C"/>
    <w:rsid w:val="00AF7F67"/>
    <w:rsid w:val="00B069EA"/>
    <w:rsid w:val="00B20AAD"/>
    <w:rsid w:val="00B26E03"/>
    <w:rsid w:val="00B64190"/>
    <w:rsid w:val="00BA3474"/>
    <w:rsid w:val="00BB0E17"/>
    <w:rsid w:val="00BB70BE"/>
    <w:rsid w:val="00BD1B5F"/>
    <w:rsid w:val="00BD5406"/>
    <w:rsid w:val="00BE7678"/>
    <w:rsid w:val="00C01508"/>
    <w:rsid w:val="00C07602"/>
    <w:rsid w:val="00C17367"/>
    <w:rsid w:val="00C27813"/>
    <w:rsid w:val="00C30621"/>
    <w:rsid w:val="00C307C1"/>
    <w:rsid w:val="00C37505"/>
    <w:rsid w:val="00C37E73"/>
    <w:rsid w:val="00C451D7"/>
    <w:rsid w:val="00C52735"/>
    <w:rsid w:val="00C606D1"/>
    <w:rsid w:val="00C64090"/>
    <w:rsid w:val="00C64C04"/>
    <w:rsid w:val="00C82546"/>
    <w:rsid w:val="00C90BA0"/>
    <w:rsid w:val="00CA16B4"/>
    <w:rsid w:val="00CA7974"/>
    <w:rsid w:val="00CB61DE"/>
    <w:rsid w:val="00CC0C39"/>
    <w:rsid w:val="00CD425E"/>
    <w:rsid w:val="00CD60FA"/>
    <w:rsid w:val="00CE391C"/>
    <w:rsid w:val="00CE6B44"/>
    <w:rsid w:val="00CE7188"/>
    <w:rsid w:val="00CE7F59"/>
    <w:rsid w:val="00CF2F32"/>
    <w:rsid w:val="00CF7F3D"/>
    <w:rsid w:val="00D1129C"/>
    <w:rsid w:val="00D31C10"/>
    <w:rsid w:val="00D45FC9"/>
    <w:rsid w:val="00D81942"/>
    <w:rsid w:val="00DA27E6"/>
    <w:rsid w:val="00DA38BE"/>
    <w:rsid w:val="00DB5A11"/>
    <w:rsid w:val="00DC5A54"/>
    <w:rsid w:val="00DD4B97"/>
    <w:rsid w:val="00DE2F76"/>
    <w:rsid w:val="00DE5DAD"/>
    <w:rsid w:val="00DF4C41"/>
    <w:rsid w:val="00DF6D23"/>
    <w:rsid w:val="00E117AE"/>
    <w:rsid w:val="00E41A45"/>
    <w:rsid w:val="00E55801"/>
    <w:rsid w:val="00E64E42"/>
    <w:rsid w:val="00E860C6"/>
    <w:rsid w:val="00E8718E"/>
    <w:rsid w:val="00E910BA"/>
    <w:rsid w:val="00E97AE5"/>
    <w:rsid w:val="00EC20F8"/>
    <w:rsid w:val="00EC67AB"/>
    <w:rsid w:val="00F10C84"/>
    <w:rsid w:val="00F31AB5"/>
    <w:rsid w:val="00F359BD"/>
    <w:rsid w:val="00F431F6"/>
    <w:rsid w:val="00F4367B"/>
    <w:rsid w:val="00F44E13"/>
    <w:rsid w:val="00F4778D"/>
    <w:rsid w:val="00F53470"/>
    <w:rsid w:val="00F56530"/>
    <w:rsid w:val="00F63914"/>
    <w:rsid w:val="00F63E12"/>
    <w:rsid w:val="00F77E60"/>
    <w:rsid w:val="00F82481"/>
    <w:rsid w:val="00F824C8"/>
    <w:rsid w:val="00F842E7"/>
    <w:rsid w:val="00F86837"/>
    <w:rsid w:val="00F87115"/>
    <w:rsid w:val="00F87B95"/>
    <w:rsid w:val="00F919F8"/>
    <w:rsid w:val="00F95931"/>
    <w:rsid w:val="00FA7827"/>
    <w:rsid w:val="00FB08AF"/>
    <w:rsid w:val="00FB5AE1"/>
    <w:rsid w:val="00FC1995"/>
    <w:rsid w:val="00FE33F8"/>
    <w:rsid w:val="00FF30F4"/>
    <w:rsid w:val="00FF61A5"/>
    <w:rsid w:val="00FF78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44F"/>
    <w:pPr>
      <w:spacing w:after="0" w:line="233" w:lineRule="auto"/>
    </w:pPr>
  </w:style>
  <w:style w:type="paragraph" w:styleId="1">
    <w:name w:val="heading 1"/>
    <w:basedOn w:val="a"/>
    <w:next w:val="a"/>
    <w:link w:val="10"/>
    <w:uiPriority w:val="9"/>
    <w:qFormat/>
    <w:rsid w:val="0014344F"/>
    <w:pPr>
      <w:autoSpaceDE w:val="0"/>
      <w:autoSpaceDN w:val="0"/>
      <w:adjustRightInd w:val="0"/>
      <w:spacing w:line="240" w:lineRule="auto"/>
      <w:jc w:val="center"/>
      <w:outlineLvl w:val="0"/>
    </w:pPr>
    <w:rPr>
      <w:rFonts w:ascii="Times New Roman" w:hAnsi="Times New Roman" w:cs="Times New Roman"/>
      <w:b/>
      <w:sz w:val="28"/>
      <w:szCs w:val="28"/>
    </w:rPr>
  </w:style>
  <w:style w:type="paragraph" w:styleId="2">
    <w:name w:val="heading 2"/>
    <w:basedOn w:val="a"/>
    <w:next w:val="a"/>
    <w:link w:val="20"/>
    <w:uiPriority w:val="9"/>
    <w:semiHidden/>
    <w:unhideWhenUsed/>
    <w:qFormat/>
    <w:rsid w:val="0014344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E693C"/>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4344F"/>
    <w:rPr>
      <w:rFonts w:ascii="Times New Roman" w:hAnsi="Times New Roman" w:cs="Times New Roman"/>
      <w:b/>
      <w:sz w:val="28"/>
      <w:szCs w:val="28"/>
    </w:rPr>
  </w:style>
  <w:style w:type="character" w:customStyle="1" w:styleId="20">
    <w:name w:val="Заголовок 2 Знак"/>
    <w:basedOn w:val="a0"/>
    <w:link w:val="2"/>
    <w:uiPriority w:val="9"/>
    <w:semiHidden/>
    <w:rsid w:val="0014344F"/>
    <w:rPr>
      <w:rFonts w:asciiTheme="majorHAnsi" w:eastAsiaTheme="majorEastAsia" w:hAnsiTheme="majorHAnsi" w:cstheme="majorBidi"/>
      <w:b/>
      <w:bCs/>
      <w:color w:val="4F81BD" w:themeColor="accent1"/>
      <w:sz w:val="26"/>
      <w:szCs w:val="26"/>
    </w:rPr>
  </w:style>
  <w:style w:type="paragraph" w:styleId="a3">
    <w:name w:val="List Paragraph"/>
    <w:basedOn w:val="a"/>
    <w:uiPriority w:val="99"/>
    <w:qFormat/>
    <w:rsid w:val="0014344F"/>
    <w:pPr>
      <w:ind w:left="720"/>
      <w:contextualSpacing/>
    </w:pPr>
  </w:style>
  <w:style w:type="paragraph" w:styleId="a4">
    <w:name w:val="footnote text"/>
    <w:basedOn w:val="a"/>
    <w:link w:val="a5"/>
    <w:uiPriority w:val="99"/>
    <w:unhideWhenUsed/>
    <w:rsid w:val="0014344F"/>
    <w:pPr>
      <w:spacing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uiPriority w:val="99"/>
    <w:rsid w:val="0014344F"/>
    <w:rPr>
      <w:rFonts w:ascii="Times New Roman" w:eastAsia="Times New Roman" w:hAnsi="Times New Roman" w:cs="Times New Roman"/>
      <w:sz w:val="20"/>
      <w:szCs w:val="20"/>
      <w:lang w:eastAsia="ru-RU"/>
    </w:rPr>
  </w:style>
  <w:style w:type="character" w:styleId="a6">
    <w:name w:val="footnote reference"/>
    <w:basedOn w:val="a0"/>
    <w:unhideWhenUsed/>
    <w:rsid w:val="0014344F"/>
    <w:rPr>
      <w:vertAlign w:val="superscript"/>
    </w:rPr>
  </w:style>
  <w:style w:type="paragraph" w:customStyle="1" w:styleId="-235">
    <w:name w:val="Стиль Основной текст с отступом + Справа:  -235 см Междустр.интер..."/>
    <w:rsid w:val="0014344F"/>
    <w:pPr>
      <w:spacing w:after="120" w:line="233" w:lineRule="auto"/>
      <w:ind w:left="283"/>
    </w:pPr>
  </w:style>
  <w:style w:type="character" w:customStyle="1" w:styleId="a7">
    <w:name w:val="Текст выноски Знак"/>
    <w:basedOn w:val="a0"/>
    <w:link w:val="a8"/>
    <w:uiPriority w:val="99"/>
    <w:semiHidden/>
    <w:rsid w:val="0014344F"/>
    <w:rPr>
      <w:rFonts w:ascii="Tahoma" w:hAnsi="Tahoma" w:cs="Tahoma"/>
      <w:sz w:val="16"/>
      <w:szCs w:val="16"/>
    </w:rPr>
  </w:style>
  <w:style w:type="paragraph" w:styleId="a8">
    <w:name w:val="Balloon Text"/>
    <w:basedOn w:val="a"/>
    <w:link w:val="a7"/>
    <w:uiPriority w:val="99"/>
    <w:semiHidden/>
    <w:unhideWhenUsed/>
    <w:rsid w:val="0014344F"/>
    <w:pPr>
      <w:spacing w:line="240" w:lineRule="auto"/>
    </w:pPr>
    <w:rPr>
      <w:rFonts w:ascii="Tahoma" w:hAnsi="Tahoma" w:cs="Tahoma"/>
      <w:sz w:val="16"/>
      <w:szCs w:val="16"/>
    </w:rPr>
  </w:style>
  <w:style w:type="character" w:customStyle="1" w:styleId="a9">
    <w:name w:val="Основной текст Знак"/>
    <w:basedOn w:val="a0"/>
    <w:link w:val="aa"/>
    <w:uiPriority w:val="99"/>
    <w:rsid w:val="0014344F"/>
  </w:style>
  <w:style w:type="paragraph" w:styleId="aa">
    <w:name w:val="Body Text"/>
    <w:basedOn w:val="a"/>
    <w:link w:val="a9"/>
    <w:uiPriority w:val="99"/>
    <w:unhideWhenUsed/>
    <w:rsid w:val="0014344F"/>
    <w:pPr>
      <w:spacing w:after="120"/>
    </w:pPr>
  </w:style>
  <w:style w:type="character" w:customStyle="1" w:styleId="11">
    <w:name w:val="Основной текст Знак1"/>
    <w:basedOn w:val="a0"/>
    <w:uiPriority w:val="99"/>
    <w:semiHidden/>
    <w:rsid w:val="0014344F"/>
  </w:style>
  <w:style w:type="character" w:customStyle="1" w:styleId="ab">
    <w:name w:val="Нижний колонтитул Знак"/>
    <w:basedOn w:val="a0"/>
    <w:link w:val="ac"/>
    <w:uiPriority w:val="99"/>
    <w:rsid w:val="0014344F"/>
    <w:rPr>
      <w:rFonts w:ascii="Times New Roman" w:eastAsia="Times New Roman" w:hAnsi="Times New Roman" w:cs="Times New Roman"/>
      <w:sz w:val="28"/>
      <w:szCs w:val="28"/>
      <w:lang w:eastAsia="ru-RU"/>
    </w:rPr>
  </w:style>
  <w:style w:type="paragraph" w:styleId="ac">
    <w:name w:val="footer"/>
    <w:basedOn w:val="a"/>
    <w:link w:val="ab"/>
    <w:uiPriority w:val="99"/>
    <w:rsid w:val="0014344F"/>
    <w:pPr>
      <w:tabs>
        <w:tab w:val="center" w:pos="4677"/>
        <w:tab w:val="right" w:pos="9355"/>
      </w:tabs>
      <w:spacing w:line="360" w:lineRule="exact"/>
      <w:ind w:firstLine="567"/>
      <w:jc w:val="both"/>
    </w:pPr>
    <w:rPr>
      <w:rFonts w:ascii="Times New Roman" w:eastAsia="Times New Roman" w:hAnsi="Times New Roman" w:cs="Times New Roman"/>
      <w:sz w:val="28"/>
      <w:szCs w:val="28"/>
      <w:lang w:eastAsia="ru-RU"/>
    </w:rPr>
  </w:style>
  <w:style w:type="character" w:customStyle="1" w:styleId="12">
    <w:name w:val="Нижний колонтитул Знак1"/>
    <w:basedOn w:val="a0"/>
    <w:uiPriority w:val="99"/>
    <w:semiHidden/>
    <w:rsid w:val="0014344F"/>
  </w:style>
  <w:style w:type="character" w:customStyle="1" w:styleId="ad">
    <w:name w:val="Верхний колонтитул Знак"/>
    <w:basedOn w:val="a0"/>
    <w:link w:val="ae"/>
    <w:uiPriority w:val="99"/>
    <w:rsid w:val="0014344F"/>
  </w:style>
  <w:style w:type="paragraph" w:styleId="ae">
    <w:name w:val="header"/>
    <w:basedOn w:val="a"/>
    <w:link w:val="ad"/>
    <w:uiPriority w:val="99"/>
    <w:unhideWhenUsed/>
    <w:rsid w:val="0014344F"/>
    <w:pPr>
      <w:tabs>
        <w:tab w:val="center" w:pos="4677"/>
        <w:tab w:val="right" w:pos="9355"/>
      </w:tabs>
      <w:spacing w:line="240" w:lineRule="auto"/>
    </w:pPr>
  </w:style>
  <w:style w:type="character" w:customStyle="1" w:styleId="13">
    <w:name w:val="Верхний колонтитул Знак1"/>
    <w:basedOn w:val="a0"/>
    <w:uiPriority w:val="99"/>
    <w:semiHidden/>
    <w:rsid w:val="0014344F"/>
  </w:style>
  <w:style w:type="character" w:customStyle="1" w:styleId="af">
    <w:name w:val="Красная строка Знак"/>
    <w:basedOn w:val="a9"/>
    <w:link w:val="af0"/>
    <w:uiPriority w:val="99"/>
    <w:semiHidden/>
    <w:rsid w:val="0014344F"/>
  </w:style>
  <w:style w:type="paragraph" w:styleId="af0">
    <w:name w:val="Body Text First Indent"/>
    <w:basedOn w:val="aa"/>
    <w:link w:val="af"/>
    <w:uiPriority w:val="99"/>
    <w:semiHidden/>
    <w:unhideWhenUsed/>
    <w:rsid w:val="0014344F"/>
    <w:pPr>
      <w:spacing w:after="0"/>
      <w:ind w:firstLine="360"/>
    </w:pPr>
  </w:style>
  <w:style w:type="character" w:customStyle="1" w:styleId="14">
    <w:name w:val="Красная строка Знак1"/>
    <w:basedOn w:val="11"/>
    <w:uiPriority w:val="99"/>
    <w:semiHidden/>
    <w:rsid w:val="0014344F"/>
  </w:style>
  <w:style w:type="character" w:customStyle="1" w:styleId="af1">
    <w:name w:val="Основной текст с отступом Знак"/>
    <w:basedOn w:val="a0"/>
    <w:link w:val="af2"/>
    <w:uiPriority w:val="99"/>
    <w:rsid w:val="0014344F"/>
    <w:rPr>
      <w:rFonts w:ascii="Times New Roman" w:eastAsia="Times New Roman" w:hAnsi="Times New Roman" w:cs="Times New Roman"/>
      <w:sz w:val="20"/>
      <w:szCs w:val="20"/>
      <w:lang w:eastAsia="ru-RU"/>
    </w:rPr>
  </w:style>
  <w:style w:type="paragraph" w:styleId="af2">
    <w:name w:val="Body Text Indent"/>
    <w:basedOn w:val="a"/>
    <w:link w:val="af1"/>
    <w:uiPriority w:val="99"/>
    <w:rsid w:val="0014344F"/>
    <w:pPr>
      <w:spacing w:after="120" w:line="240" w:lineRule="auto"/>
      <w:ind w:left="283"/>
    </w:pPr>
    <w:rPr>
      <w:rFonts w:ascii="Times New Roman" w:eastAsia="Times New Roman" w:hAnsi="Times New Roman" w:cs="Times New Roman"/>
      <w:sz w:val="20"/>
      <w:szCs w:val="20"/>
      <w:lang w:eastAsia="ru-RU"/>
    </w:rPr>
  </w:style>
  <w:style w:type="character" w:customStyle="1" w:styleId="15">
    <w:name w:val="Основной текст с отступом Знак1"/>
    <w:basedOn w:val="a0"/>
    <w:uiPriority w:val="99"/>
    <w:semiHidden/>
    <w:rsid w:val="0014344F"/>
  </w:style>
  <w:style w:type="paragraph" w:styleId="af3">
    <w:name w:val="No Spacing"/>
    <w:link w:val="af4"/>
    <w:uiPriority w:val="1"/>
    <w:qFormat/>
    <w:rsid w:val="0014344F"/>
    <w:pPr>
      <w:spacing w:after="0" w:line="240" w:lineRule="auto"/>
    </w:pPr>
    <w:rPr>
      <w:rFonts w:ascii="Calibri" w:eastAsia="Times New Roman" w:hAnsi="Calibri" w:cs="Times New Roman"/>
    </w:rPr>
  </w:style>
  <w:style w:type="character" w:customStyle="1" w:styleId="af4">
    <w:name w:val="Без интервала Знак"/>
    <w:basedOn w:val="a0"/>
    <w:link w:val="af3"/>
    <w:uiPriority w:val="1"/>
    <w:rsid w:val="0014344F"/>
    <w:rPr>
      <w:rFonts w:ascii="Calibri" w:eastAsia="Times New Roman" w:hAnsi="Calibri" w:cs="Times New Roman"/>
    </w:rPr>
  </w:style>
  <w:style w:type="paragraph" w:customStyle="1" w:styleId="af5">
    <w:name w:val="Основной"/>
    <w:basedOn w:val="a"/>
    <w:link w:val="af6"/>
    <w:autoRedefine/>
    <w:qFormat/>
    <w:rsid w:val="0014344F"/>
    <w:pPr>
      <w:widowControl w:val="0"/>
      <w:autoSpaceDE w:val="0"/>
      <w:autoSpaceDN w:val="0"/>
      <w:adjustRightInd w:val="0"/>
      <w:spacing w:line="240" w:lineRule="auto"/>
      <w:ind w:firstLine="709"/>
      <w:jc w:val="both"/>
    </w:pPr>
    <w:rPr>
      <w:rFonts w:ascii="Times New Roman" w:eastAsia="Times New Roman" w:hAnsi="Times New Roman" w:cs="Times New Roman"/>
      <w:sz w:val="24"/>
      <w:szCs w:val="24"/>
      <w:lang w:eastAsia="ru-RU"/>
    </w:rPr>
  </w:style>
  <w:style w:type="character" w:customStyle="1" w:styleId="af6">
    <w:name w:val="Основной Знак"/>
    <w:basedOn w:val="a0"/>
    <w:link w:val="af5"/>
    <w:rsid w:val="0014344F"/>
    <w:rPr>
      <w:rFonts w:ascii="Times New Roman" w:eastAsia="Times New Roman" w:hAnsi="Times New Roman" w:cs="Times New Roman"/>
      <w:sz w:val="24"/>
      <w:szCs w:val="24"/>
      <w:lang w:eastAsia="ru-RU"/>
    </w:rPr>
  </w:style>
  <w:style w:type="paragraph" w:customStyle="1" w:styleId="ConsNonformat">
    <w:name w:val="ConsNonformat"/>
    <w:rsid w:val="0014344F"/>
    <w:pPr>
      <w:widowControl w:val="0"/>
      <w:autoSpaceDE w:val="0"/>
      <w:autoSpaceDN w:val="0"/>
      <w:spacing w:after="0" w:line="240" w:lineRule="auto"/>
      <w:ind w:right="19772"/>
    </w:pPr>
    <w:rPr>
      <w:rFonts w:ascii="Courier New" w:eastAsia="Times New Roman" w:hAnsi="Courier New" w:cs="Courier New"/>
      <w:sz w:val="20"/>
      <w:szCs w:val="20"/>
      <w:lang w:eastAsia="ru-RU"/>
    </w:rPr>
  </w:style>
  <w:style w:type="paragraph" w:customStyle="1" w:styleId="ConsPlusNormal">
    <w:name w:val="ConsPlusNormal"/>
    <w:link w:val="ConsPlusNormal0"/>
    <w:rsid w:val="001434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14344F"/>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31">
    <w:name w:val="Body Text 3"/>
    <w:basedOn w:val="a"/>
    <w:link w:val="32"/>
    <w:uiPriority w:val="99"/>
    <w:unhideWhenUsed/>
    <w:rsid w:val="0014344F"/>
    <w:pPr>
      <w:spacing w:after="120"/>
    </w:pPr>
    <w:rPr>
      <w:sz w:val="16"/>
      <w:szCs w:val="16"/>
    </w:rPr>
  </w:style>
  <w:style w:type="character" w:customStyle="1" w:styleId="32">
    <w:name w:val="Основной текст 3 Знак"/>
    <w:basedOn w:val="a0"/>
    <w:link w:val="31"/>
    <w:uiPriority w:val="99"/>
    <w:rsid w:val="0014344F"/>
    <w:rPr>
      <w:sz w:val="16"/>
      <w:szCs w:val="16"/>
    </w:rPr>
  </w:style>
  <w:style w:type="paragraph" w:styleId="af7">
    <w:name w:val="Normal (Web)"/>
    <w:basedOn w:val="a"/>
    <w:uiPriority w:val="99"/>
    <w:rsid w:val="001434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
    <w:name w:val="Без интервала2"/>
    <w:uiPriority w:val="99"/>
    <w:rsid w:val="0014344F"/>
    <w:pPr>
      <w:spacing w:after="0" w:line="240" w:lineRule="auto"/>
    </w:pPr>
    <w:rPr>
      <w:rFonts w:ascii="Calibri" w:eastAsia="Times New Roman" w:hAnsi="Calibri" w:cs="Times New Roman"/>
      <w:lang w:eastAsia="ru-RU"/>
    </w:rPr>
  </w:style>
  <w:style w:type="paragraph" w:customStyle="1" w:styleId="16">
    <w:name w:val="Без интервала1"/>
    <w:uiPriority w:val="99"/>
    <w:rsid w:val="0014344F"/>
    <w:pPr>
      <w:spacing w:after="0" w:line="240" w:lineRule="auto"/>
    </w:pPr>
    <w:rPr>
      <w:rFonts w:ascii="Calibri" w:eastAsia="Times New Roman" w:hAnsi="Calibri" w:cs="Times New Roman"/>
      <w:lang w:eastAsia="ru-RU"/>
    </w:rPr>
  </w:style>
  <w:style w:type="paragraph" w:customStyle="1" w:styleId="af8">
    <w:name w:val="Прижатый влево"/>
    <w:basedOn w:val="a"/>
    <w:next w:val="a"/>
    <w:uiPriority w:val="99"/>
    <w:rsid w:val="0014344F"/>
    <w:pPr>
      <w:autoSpaceDE w:val="0"/>
      <w:autoSpaceDN w:val="0"/>
      <w:adjustRightInd w:val="0"/>
      <w:spacing w:line="240" w:lineRule="auto"/>
    </w:pPr>
    <w:rPr>
      <w:rFonts w:ascii="Arial" w:hAnsi="Arial" w:cs="Arial"/>
      <w:sz w:val="24"/>
      <w:szCs w:val="24"/>
    </w:rPr>
  </w:style>
  <w:style w:type="character" w:customStyle="1" w:styleId="22">
    <w:name w:val="Основной текст с отступом 2 Знак"/>
    <w:basedOn w:val="a0"/>
    <w:link w:val="23"/>
    <w:uiPriority w:val="99"/>
    <w:semiHidden/>
    <w:rsid w:val="0014344F"/>
  </w:style>
  <w:style w:type="paragraph" w:styleId="23">
    <w:name w:val="Body Text Indent 2"/>
    <w:basedOn w:val="a"/>
    <w:link w:val="22"/>
    <w:uiPriority w:val="99"/>
    <w:semiHidden/>
    <w:unhideWhenUsed/>
    <w:rsid w:val="0014344F"/>
    <w:pPr>
      <w:spacing w:after="120" w:line="480" w:lineRule="auto"/>
      <w:ind w:left="283"/>
    </w:pPr>
  </w:style>
  <w:style w:type="paragraph" w:customStyle="1" w:styleId="ConsPlusCell">
    <w:name w:val="ConsPlusCell"/>
    <w:uiPriority w:val="99"/>
    <w:rsid w:val="0014344F"/>
    <w:pPr>
      <w:widowControl w:val="0"/>
      <w:autoSpaceDE w:val="0"/>
      <w:autoSpaceDN w:val="0"/>
      <w:adjustRightInd w:val="0"/>
      <w:spacing w:after="0" w:line="240" w:lineRule="auto"/>
    </w:pPr>
    <w:rPr>
      <w:rFonts w:ascii="Calibri" w:eastAsia="Times New Roman" w:hAnsi="Calibri" w:cs="Calibri"/>
      <w:lang w:eastAsia="ru-RU"/>
    </w:rPr>
  </w:style>
  <w:style w:type="paragraph" w:styleId="24">
    <w:name w:val="Body Text 2"/>
    <w:basedOn w:val="a"/>
    <w:link w:val="25"/>
    <w:uiPriority w:val="99"/>
    <w:unhideWhenUsed/>
    <w:rsid w:val="0014344F"/>
    <w:pPr>
      <w:spacing w:after="120" w:line="480" w:lineRule="auto"/>
    </w:pPr>
  </w:style>
  <w:style w:type="character" w:customStyle="1" w:styleId="25">
    <w:name w:val="Основной текст 2 Знак"/>
    <w:basedOn w:val="a0"/>
    <w:link w:val="24"/>
    <w:uiPriority w:val="99"/>
    <w:rsid w:val="0014344F"/>
  </w:style>
  <w:style w:type="paragraph" w:styleId="af9">
    <w:name w:val="Plain Text"/>
    <w:basedOn w:val="a"/>
    <w:link w:val="afa"/>
    <w:uiPriority w:val="99"/>
    <w:rsid w:val="0014344F"/>
    <w:pPr>
      <w:spacing w:line="240" w:lineRule="auto"/>
    </w:pPr>
    <w:rPr>
      <w:rFonts w:ascii="Courier New" w:eastAsia="Times New Roman" w:hAnsi="Courier New" w:cs="Times New Roman"/>
      <w:sz w:val="20"/>
      <w:szCs w:val="20"/>
    </w:rPr>
  </w:style>
  <w:style w:type="character" w:customStyle="1" w:styleId="afa">
    <w:name w:val="Текст Знак"/>
    <w:basedOn w:val="a0"/>
    <w:link w:val="af9"/>
    <w:uiPriority w:val="99"/>
    <w:rsid w:val="0014344F"/>
    <w:rPr>
      <w:rFonts w:ascii="Courier New" w:eastAsia="Times New Roman" w:hAnsi="Courier New" w:cs="Times New Roman"/>
      <w:sz w:val="20"/>
      <w:szCs w:val="20"/>
    </w:rPr>
  </w:style>
  <w:style w:type="paragraph" w:customStyle="1" w:styleId="ConsPlusTitle">
    <w:name w:val="ConsPlusTitle"/>
    <w:uiPriority w:val="99"/>
    <w:rsid w:val="0014344F"/>
    <w:pPr>
      <w:widowControl w:val="0"/>
      <w:autoSpaceDE w:val="0"/>
      <w:autoSpaceDN w:val="0"/>
      <w:adjustRightInd w:val="0"/>
      <w:spacing w:after="0" w:line="240" w:lineRule="auto"/>
    </w:pPr>
    <w:rPr>
      <w:rFonts w:ascii="Calibri" w:eastAsiaTheme="minorEastAsia" w:hAnsi="Calibri" w:cs="Calibri"/>
      <w:b/>
      <w:bCs/>
      <w:lang w:eastAsia="ru-RU"/>
    </w:rPr>
  </w:style>
  <w:style w:type="paragraph" w:styleId="17">
    <w:name w:val="toc 1"/>
    <w:basedOn w:val="a"/>
    <w:next w:val="a"/>
    <w:autoRedefine/>
    <w:uiPriority w:val="39"/>
    <w:unhideWhenUsed/>
    <w:qFormat/>
    <w:rsid w:val="00282B2C"/>
    <w:pPr>
      <w:tabs>
        <w:tab w:val="right" w:leader="dot" w:pos="9356"/>
      </w:tabs>
      <w:spacing w:after="100" w:line="240" w:lineRule="auto"/>
      <w:ind w:left="567" w:hanging="283"/>
    </w:pPr>
    <w:rPr>
      <w:rFonts w:ascii="Times New Roman" w:eastAsia="Calibri" w:hAnsi="Times New Roman" w:cs="Times New Roman"/>
      <w:bCs/>
      <w:noProof/>
      <w:sz w:val="28"/>
      <w:szCs w:val="28"/>
    </w:rPr>
  </w:style>
  <w:style w:type="paragraph" w:styleId="26">
    <w:name w:val="toc 2"/>
    <w:basedOn w:val="a"/>
    <w:next w:val="a"/>
    <w:autoRedefine/>
    <w:uiPriority w:val="39"/>
    <w:unhideWhenUsed/>
    <w:qFormat/>
    <w:rsid w:val="0014344F"/>
    <w:pPr>
      <w:tabs>
        <w:tab w:val="right" w:leader="dot" w:pos="9356"/>
      </w:tabs>
      <w:spacing w:after="100" w:line="240" w:lineRule="auto"/>
      <w:ind w:left="284"/>
    </w:pPr>
    <w:rPr>
      <w:rFonts w:ascii="Times New Roman" w:hAnsi="Times New Roman" w:cs="Times New Roman"/>
      <w:noProof/>
      <w:sz w:val="28"/>
      <w:szCs w:val="28"/>
    </w:rPr>
  </w:style>
  <w:style w:type="character" w:styleId="afb">
    <w:name w:val="Hyperlink"/>
    <w:basedOn w:val="a0"/>
    <w:uiPriority w:val="99"/>
    <w:unhideWhenUsed/>
    <w:rsid w:val="0014344F"/>
    <w:rPr>
      <w:color w:val="0000FF" w:themeColor="hyperlink"/>
      <w:u w:val="single"/>
    </w:rPr>
  </w:style>
  <w:style w:type="paragraph" w:styleId="afc">
    <w:name w:val="TOC Heading"/>
    <w:basedOn w:val="1"/>
    <w:next w:val="a"/>
    <w:uiPriority w:val="39"/>
    <w:unhideWhenUsed/>
    <w:qFormat/>
    <w:rsid w:val="0014344F"/>
    <w:pPr>
      <w:keepNext/>
      <w:keepLines/>
      <w:autoSpaceDE/>
      <w:autoSpaceDN/>
      <w:adjustRightInd/>
      <w:spacing w:before="480" w:line="276" w:lineRule="auto"/>
      <w:jc w:val="left"/>
      <w:outlineLvl w:val="9"/>
    </w:pPr>
    <w:rPr>
      <w:rFonts w:asciiTheme="majorHAnsi" w:eastAsiaTheme="majorEastAsia" w:hAnsiTheme="majorHAnsi" w:cstheme="majorBidi"/>
      <w:bCs/>
      <w:color w:val="365F91" w:themeColor="accent1" w:themeShade="BF"/>
    </w:rPr>
  </w:style>
  <w:style w:type="paragraph" w:styleId="33">
    <w:name w:val="toc 3"/>
    <w:basedOn w:val="a"/>
    <w:next w:val="a"/>
    <w:autoRedefine/>
    <w:uiPriority w:val="39"/>
    <w:unhideWhenUsed/>
    <w:qFormat/>
    <w:rsid w:val="0014344F"/>
    <w:pPr>
      <w:spacing w:after="100"/>
      <w:ind w:left="440"/>
    </w:pPr>
  </w:style>
  <w:style w:type="paragraph" w:customStyle="1" w:styleId="NoSpacing">
    <w:name w:val="No Spacing*"/>
    <w:qFormat/>
    <w:rsid w:val="00023AC7"/>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Calibri" w:eastAsia="Times New Roman" w:hAnsi="Calibri" w:cs="Calibri"/>
      <w:lang w:eastAsia="zh-CN"/>
    </w:rPr>
  </w:style>
  <w:style w:type="table" w:styleId="afd">
    <w:name w:val="Table Grid"/>
    <w:basedOn w:val="a1"/>
    <w:uiPriority w:val="59"/>
    <w:rsid w:val="003257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e">
    <w:name w:val="Основной текст_"/>
    <w:basedOn w:val="a0"/>
    <w:link w:val="27"/>
    <w:rsid w:val="003257B1"/>
    <w:rPr>
      <w:rFonts w:ascii="Times New Roman" w:eastAsia="Times New Roman" w:hAnsi="Times New Roman" w:cs="Times New Roman"/>
      <w:sz w:val="23"/>
      <w:szCs w:val="23"/>
      <w:shd w:val="clear" w:color="auto" w:fill="FFFFFF"/>
    </w:rPr>
  </w:style>
  <w:style w:type="paragraph" w:customStyle="1" w:styleId="27">
    <w:name w:val="Основной текст2"/>
    <w:basedOn w:val="a"/>
    <w:link w:val="afe"/>
    <w:rsid w:val="003257B1"/>
    <w:pPr>
      <w:widowControl w:val="0"/>
      <w:shd w:val="clear" w:color="auto" w:fill="FFFFFF"/>
      <w:spacing w:line="274" w:lineRule="exact"/>
      <w:jc w:val="both"/>
    </w:pPr>
    <w:rPr>
      <w:rFonts w:ascii="Times New Roman" w:eastAsia="Times New Roman" w:hAnsi="Times New Roman" w:cs="Times New Roman"/>
      <w:sz w:val="23"/>
      <w:szCs w:val="23"/>
    </w:rPr>
  </w:style>
  <w:style w:type="character" w:customStyle="1" w:styleId="ConsPlusNormal0">
    <w:name w:val="ConsPlusNormal Знак"/>
    <w:basedOn w:val="a0"/>
    <w:link w:val="ConsPlusNormal"/>
    <w:uiPriority w:val="99"/>
    <w:locked/>
    <w:rsid w:val="006630F9"/>
    <w:rPr>
      <w:rFonts w:ascii="Arial" w:eastAsia="Times New Roman" w:hAnsi="Arial" w:cs="Arial"/>
      <w:sz w:val="20"/>
      <w:szCs w:val="20"/>
      <w:lang w:eastAsia="ru-RU"/>
    </w:rPr>
  </w:style>
  <w:style w:type="character" w:customStyle="1" w:styleId="30">
    <w:name w:val="Заголовок 3 Знак"/>
    <w:basedOn w:val="a0"/>
    <w:link w:val="3"/>
    <w:uiPriority w:val="9"/>
    <w:rsid w:val="00AE693C"/>
    <w:rPr>
      <w:rFonts w:asciiTheme="majorHAnsi" w:eastAsiaTheme="majorEastAsia" w:hAnsiTheme="majorHAnsi" w:cstheme="majorBidi"/>
      <w:b/>
      <w:bCs/>
      <w:color w:val="4F81BD" w:themeColor="accent1"/>
    </w:rPr>
  </w:style>
  <w:style w:type="character" w:customStyle="1" w:styleId="FontStyle28">
    <w:name w:val="Font Style28"/>
    <w:rsid w:val="000663EB"/>
    <w:rPr>
      <w:rFonts w:ascii="Courier New" w:hAnsi="Courier New" w:cs="Courier New"/>
      <w:sz w:val="18"/>
      <w:szCs w:val="18"/>
    </w:rPr>
  </w:style>
  <w:style w:type="character" w:customStyle="1" w:styleId="FontStyle44">
    <w:name w:val="Font Style44"/>
    <w:basedOn w:val="a0"/>
    <w:rsid w:val="00737AD6"/>
    <w:rPr>
      <w:rFonts w:ascii="Times New Roman" w:hAnsi="Times New Roman"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66402357">
      <w:bodyDiv w:val="1"/>
      <w:marLeft w:val="0"/>
      <w:marRight w:val="0"/>
      <w:marTop w:val="0"/>
      <w:marBottom w:val="0"/>
      <w:divBdr>
        <w:top w:val="none" w:sz="0" w:space="0" w:color="auto"/>
        <w:left w:val="none" w:sz="0" w:space="0" w:color="auto"/>
        <w:bottom w:val="none" w:sz="0" w:space="0" w:color="auto"/>
        <w:right w:val="none" w:sz="0" w:space="0" w:color="auto"/>
      </w:divBdr>
    </w:div>
    <w:div w:id="1067072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9" Type="http://schemas.openxmlformats.org/officeDocument/2006/relationships/chart" Target="charts/chart28.xml"/><Relationship Id="rId3" Type="http://schemas.openxmlformats.org/officeDocument/2006/relationships/styles" Target="styles.xml"/><Relationship Id="rId21" Type="http://schemas.openxmlformats.org/officeDocument/2006/relationships/chart" Target="charts/chart14.xml"/><Relationship Id="rId34" Type="http://schemas.openxmlformats.org/officeDocument/2006/relationships/chart" Target="charts/chart24.xml"/><Relationship Id="rId42" Type="http://schemas.openxmlformats.org/officeDocument/2006/relationships/chart" Target="charts/chart31.xml"/><Relationship Id="rId47"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33" Type="http://schemas.openxmlformats.org/officeDocument/2006/relationships/hyperlink" Target="consultantplus://offline/ref=40A7B37D4AA165844C503098320EFB4F0E1384B691DD6D06C4151CCB56A1F4E23FA0CC636BE0C80Cz7y1V" TargetMode="External"/><Relationship Id="rId38" Type="http://schemas.openxmlformats.org/officeDocument/2006/relationships/hyperlink" Target="consultantplus://offline/ref=0BB400E1C58B71B32B354383704871C4AFCA725B85D782D8811896E32A3FAD2FD134CD967208F4101DB6EDD6z3b4C"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chart" Target="charts/chart22.xml"/><Relationship Id="rId41" Type="http://schemas.openxmlformats.org/officeDocument/2006/relationships/chart" Target="charts/chart3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hyperlink" Target="consultantplus://offline/ref=40A7B37D4AA165844C503098320EFB4F0E1384B691DD6D06C4151CCB56A1F4E23FA0CC636BE0C80Cz7y0V" TargetMode="External"/><Relationship Id="rId37" Type="http://schemas.openxmlformats.org/officeDocument/2006/relationships/chart" Target="charts/chart27.xml"/><Relationship Id="rId40" Type="http://schemas.openxmlformats.org/officeDocument/2006/relationships/chart" Target="charts/chart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1.xml"/><Relationship Id="rId36" Type="http://schemas.openxmlformats.org/officeDocument/2006/relationships/chart" Target="charts/chart26.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hyperlink" Target="consultantplus://offline/ref=40A7B37D4AA165844C503098320EFB4F0E1384B691DD6D06C4151CCB56A1F4E23FA0CC636BE0C80Cz7y2V"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chart" Target="charts/chart23.xml"/><Relationship Id="rId35" Type="http://schemas.openxmlformats.org/officeDocument/2006/relationships/chart" Target="charts/chart25.xml"/><Relationship Id="rId43" Type="http://schemas.openxmlformats.org/officeDocument/2006/relationships/chart" Target="charts/chart32.xml"/></Relationships>
</file>

<file path=word/charts/_rels/chart1.xml.rels><?xml version="1.0" encoding="UTF-8" standalone="yes"?>
<Relationships xmlns="http://schemas.openxmlformats.org/package/2006/relationships"><Relationship Id="rId1" Type="http://schemas.openxmlformats.org/officeDocument/2006/relationships/oleObject" Target="file:///\\Fileserver\ue_docs\&#1054;&#1090;&#1076;&#1077;&#1083;%20&#1087;&#1088;&#1086;&#1075;&#1085;&#1086;&#1079;&#1072;%20&#1080;%20&#1089;&#1086;&#1094;&#1080;&#1072;&#1083;&#1100;&#1085;&#1086;-&#1101;&#1082;&#1086;&#1085;&#1086;&#1084;&#1080;&#1095;&#1077;&#1089;&#1082;&#1086;&#1075;&#1086;%20&#1087;&#1083;&#1072;&#1085;&#1080;&#1088;&#1086;&#1074;&#1072;&#1085;&#1080;&#1103;\&#1050;&#1072;&#1079;&#1072;&#1082;&#1086;&#1074;&#1072;%20&#1053;.&#1042;\&#1055;&#1056;&#1054;&#1043;&#1053;&#1054;&#1047;&#1067;%20&#1054;&#1058;%20&#1057;&#1054;&#1058;&#1056;&#1059;&#1044;&#1053;&#1048;&#1050;&#1054;&#1042;\&#1044;&#1080;&#1072;&#1075;&#1088;&#1072;&#1084;&#1084;&#1099;.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Fileserver\ue_docs\&#1054;&#1090;&#1076;&#1077;&#1083;%20&#1087;&#1088;&#1086;&#1075;&#1085;&#1086;&#1079;&#1072;%20&#1080;%20&#1089;&#1086;&#1094;&#1080;&#1072;&#1083;&#1100;&#1085;&#1086;-&#1101;&#1082;&#1086;&#1085;&#1086;&#1084;&#1080;&#1095;&#1077;&#1089;&#1082;&#1086;&#1075;&#1086;%20&#1087;&#1083;&#1072;&#1085;&#1080;&#1088;&#1086;&#1074;&#1072;&#1085;&#1080;&#1103;\&#1050;&#1086;&#1095;&#1077;&#1090;&#1086;&#1074;&#1072;%20&#1054;.&#1042;\&#1055;&#1056;&#1054;&#1043;&#1053;&#1054;&#1047;\&#1043;&#1088;&#1072;&#1092;&#1080;&#1082;&#1080;%20&#1076;&#1086;%202017.xlsx" TargetMode="External"/></Relationships>
</file>

<file path=word/charts/_rels/chart1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Office_Excel4.xlsx"/><Relationship Id="rId1" Type="http://schemas.openxmlformats.org/officeDocument/2006/relationships/themeOverride" Target="../theme/themeOverride1.xml"/></Relationships>
</file>

<file path=word/charts/_rels/chart12.xml.rels><?xml version="1.0" encoding="UTF-8" standalone="yes"?>
<Relationships xmlns="http://schemas.openxmlformats.org/package/2006/relationships"><Relationship Id="rId2" Type="http://schemas.openxmlformats.org/officeDocument/2006/relationships/package" Target="../embeddings/_____Microsoft_Office_Excel5.xlsx"/><Relationship Id="rId1" Type="http://schemas.openxmlformats.org/officeDocument/2006/relationships/themeOverride" Target="../theme/themeOverride2.xml"/></Relationships>
</file>

<file path=word/charts/_rels/chart13.xml.rels><?xml version="1.0" encoding="UTF-8" standalone="yes"?>
<Relationships xmlns="http://schemas.openxmlformats.org/package/2006/relationships"><Relationship Id="rId2" Type="http://schemas.openxmlformats.org/officeDocument/2006/relationships/package" Target="../embeddings/_____Microsoft_Office_Excel6.xlsx"/><Relationship Id="rId1" Type="http://schemas.openxmlformats.org/officeDocument/2006/relationships/themeOverride" Target="../theme/themeOverride3.xml"/></Relationships>
</file>

<file path=word/charts/_rels/chart14.xml.rels><?xml version="1.0" encoding="UTF-8" standalone="yes"?>
<Relationships xmlns="http://schemas.openxmlformats.org/package/2006/relationships"><Relationship Id="rId2" Type="http://schemas.openxmlformats.org/officeDocument/2006/relationships/package" Target="../embeddings/_____Microsoft_Office_Excel7.xlsx"/><Relationship Id="rId1" Type="http://schemas.openxmlformats.org/officeDocument/2006/relationships/themeOverride" Target="../theme/themeOverride4.xml"/></Relationships>
</file>

<file path=word/charts/_rels/chart15.xml.rels><?xml version="1.0" encoding="UTF-8" standalone="yes"?>
<Relationships xmlns="http://schemas.openxmlformats.org/package/2006/relationships"><Relationship Id="rId2" Type="http://schemas.openxmlformats.org/officeDocument/2006/relationships/package" Target="../embeddings/_____Microsoft_Office_Excel8.xlsx"/><Relationship Id="rId1" Type="http://schemas.openxmlformats.org/officeDocument/2006/relationships/themeOverride" Target="../theme/themeOverride5.xml"/></Relationships>
</file>

<file path=word/charts/_rels/chart16.xml.rels><?xml version="1.0" encoding="UTF-8" standalone="yes"?>
<Relationships xmlns="http://schemas.openxmlformats.org/package/2006/relationships"><Relationship Id="rId1" Type="http://schemas.openxmlformats.org/officeDocument/2006/relationships/oleObject" Target="file:///C:\Users\user\Desktop\&#1075;&#1088;&#1072;&#1092;&#1080;&#1082;%20&#1085;&#1072;&#1089;&#1077;&#1083;&#1077;&#1085;&#1080;&#1077;.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Users\user\Desktop\&#1075;&#1088;&#1072;&#1092;&#1080;&#1082;%20&#1085;&#1072;&#1089;&#1077;&#1083;&#1077;&#1085;&#1080;&#1077;.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user\Desktop\&#1051;&#1080;&#1089;&#1090;%20Microsoft%20Office%20Excel.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Users\user\Desktop\&#1075;&#1088;&#1072;&#1092;&#1080;&#1082;%20&#1085;&#1072;&#1089;&#1077;&#1083;&#1077;&#1085;&#1080;&#1077;.xlsx"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file:///C:\Users\NKazakova\Documents\&#1055;&#1088;&#1086;&#1075;&#1085;&#1086;&#1079;%20&#1076;&#1086;%202017%20&#1075;&#1086;&#1076;&#1072;\&#1043;&#1088;&#1072;&#1092;&#1080;&#1082;&#1080;%20&#1076;&#1086;%202017.xlsx" TargetMode="External"/><Relationship Id="rId1" Type="http://schemas.openxmlformats.org/officeDocument/2006/relationships/image" Target="../media/image1.jpeg"/></Relationships>
</file>

<file path=word/charts/_rels/chart20.xml.rels><?xml version="1.0" encoding="UTF-8" standalone="yes"?>
<Relationships xmlns="http://schemas.openxmlformats.org/package/2006/relationships"><Relationship Id="rId1" Type="http://schemas.openxmlformats.org/officeDocument/2006/relationships/oleObject" Target="file:///C:\Users\NKazakova\Documents\&#1055;&#1088;&#1086;&#1075;&#1085;&#1086;&#1079;%20&#1076;&#1086;%202017%20&#1075;&#1086;&#1076;&#1072;!!!!!!!!\&#1043;&#1086;&#1090;&#1086;&#1074;&#1099;&#1077;%20&#1088;&#1072;&#1079;&#1076;&#1077;&#1083;&#1099;%20&#1087;&#1088;&#1086;&#1075;&#1085;&#1086;&#1079;&#1072;%20&#1055;&#1050;&#1043;&#1054;%20&#1076;&#1086;%202017%20&#1075;&#1086;&#1076;&#1072;\&#1043;&#1088;&#1072;&#1092;&#1080;&#1082;&#1080;%20&#1079;&#1072;&#1088;&#1087;&#1083;&#1072;&#1090;&#1072;.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C:\Users\NKazakova\Documents\&#1055;&#1088;&#1086;&#1075;&#1085;&#1086;&#1079;%20&#1076;&#1086;%202017%20&#1075;&#1086;&#1076;&#1072;!!!!!!!!\&#1043;&#1086;&#1090;&#1086;&#1074;&#1099;&#1077;%20&#1088;&#1072;&#1079;&#1076;&#1077;&#1083;&#1099;%20&#1087;&#1088;&#1086;&#1075;&#1085;&#1086;&#1079;&#1072;%20&#1055;&#1050;&#1043;&#1054;%20&#1076;&#1086;%202017%20&#1075;&#1086;&#1076;&#1072;\&#1043;&#1088;&#1072;&#1092;&#1080;&#1082;&#1080;%20&#1079;&#1072;&#1088;&#1087;&#1083;&#1072;&#1090;&#1072;.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C:\Users\NSumenko\Desktop\&#1052;&#1040;&#1058;&#1042;&#1048;&#1045;&#1053;&#1050;&#1054;\&#1055;&#1056;&#1054;&#1043;&#1053;&#1054;&#1047;\2014-2016\&#1060;&#1088;&#1072;&#1075;&#1084;&#1077;&#1085;&#1090;&#1099;%20&#1087;&#1088;&#1086;&#1075;&#1085;&#1086;&#1079;&#1072;\&#1052;&#1086;&#1083;&#1086;&#1076;&#1077;&#1078;&#1085;&#1072;&#1103;%20&#1087;&#1086;&#1083;&#1080;&#1090;&#1080;&#1082;&#1072;\&#1051;&#1080;&#1089;&#1090;%20Microsoft%20Office%20Excel.xlsx" TargetMode="External"/></Relationships>
</file>

<file path=word/charts/_rels/chart23.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_rels/chart24.xml.rels><?xml version="1.0" encoding="UTF-8" standalone="yes"?>
<Relationships xmlns="http://schemas.openxmlformats.org/package/2006/relationships"><Relationship Id="rId1" Type="http://schemas.openxmlformats.org/officeDocument/2006/relationships/package" Target="../embeddings/_____Microsoft_Office_Excel10.xlsx"/></Relationships>
</file>

<file path=word/charts/_rels/chart25.xml.rels><?xml version="1.0" encoding="UTF-8" standalone="yes"?>
<Relationships xmlns="http://schemas.openxmlformats.org/package/2006/relationships"><Relationship Id="rId2" Type="http://schemas.openxmlformats.org/officeDocument/2006/relationships/oleObject" Target="file:///\\Fileserver\fku_docs\&#1054;&#1090;&#1076;&#1077;&#1083;%20&#1041;&#1102;&#1076;&#1078;&#1077;&#1090;&#1085;&#1086;&#1081;%20&#1087;&#1086;&#1083;&#1080;&#1090;&#1080;&#1082;&#1080;\&#1040;&#1085;&#1072;&#1083;&#1080;&#1090;&#1080;&#1082;&#1072;\&#1055;&#1088;&#1086;&#1075;&#1085;&#1086;&#1079;%20&#1057;&#1069;&#1056;\&#1055;&#1088;&#1086;&#1075;&#1085;&#1086;&#1079;%202015\&#1055;&#1088;&#1086;&#1075;&#1085;&#1086;&#1079;%20&#1057;&#1069;&#1056;%20&#1085;&#1072;%202015-2017%20&#1044;&#1054;&#1061;&#1054;&#1044;&#1067;\2014-10-07%20&#1091;&#1090;&#1086;&#1095;&#1085;&#1077;&#1085;&#1080;&#1077;\2014-10-08%20&#1056;&#1072;&#1089;&#1095;&#1077;&#1090;&#1099;.xls" TargetMode="External"/><Relationship Id="rId1" Type="http://schemas.openxmlformats.org/officeDocument/2006/relationships/themeOverride" Target="../theme/themeOverride6.xml"/></Relationships>
</file>

<file path=word/charts/_rels/chart26.xml.rels><?xml version="1.0" encoding="UTF-8" standalone="yes"?>
<Relationships xmlns="http://schemas.openxmlformats.org/package/2006/relationships"><Relationship Id="rId1" Type="http://schemas.openxmlformats.org/officeDocument/2006/relationships/package" Target="../embeddings/_____Microsoft_Office_Excel11.xlsx"/></Relationships>
</file>

<file path=word/charts/_rels/chart27.xml.rels><?xml version="1.0" encoding="UTF-8" standalone="yes"?>
<Relationships xmlns="http://schemas.openxmlformats.org/package/2006/relationships"><Relationship Id="rId1" Type="http://schemas.openxmlformats.org/officeDocument/2006/relationships/package" Target="../embeddings/_____Microsoft_Office_Excel12.xlsx"/></Relationships>
</file>

<file path=word/charts/_rels/chart28.xml.rels><?xml version="1.0" encoding="UTF-8" standalone="yes"?>
<Relationships xmlns="http://schemas.openxmlformats.org/package/2006/relationships"><Relationship Id="rId1" Type="http://schemas.openxmlformats.org/officeDocument/2006/relationships/oleObject" Target="file:///H:\Documents%20and%20Settings\GKirpichenko\&#1056;&#1072;&#1073;&#1086;&#1095;&#1080;&#1081;%20&#1089;&#1090;&#1086;&#1083;\&#1051;&#1080;&#1089;&#1090;%20Microsoft%20Office%20Excel%20(11).xlsx"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file:///H:\Documents%20and%20Settings\GKirpichenko\&#1056;&#1072;&#1073;&#1086;&#1095;&#1080;&#1081;%20&#1089;&#1090;&#1086;&#1083;\&#1051;&#1080;&#1089;&#1090;%20Microsoft%20Office%20Excel%20(1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NKazakova\Documents\&#1055;&#1088;&#1086;&#1075;&#1085;&#1086;&#1079;%20&#1076;&#1086;%202017%20&#1075;&#1086;&#1076;&#1072;!!!!!!!!\&#1043;&#1086;&#1090;&#1086;&#1074;&#1099;&#1077;%20&#1088;&#1072;&#1079;&#1076;&#1077;&#1083;&#1099;%20&#1087;&#1088;&#1086;&#1075;&#1085;&#1086;&#1079;&#1072;%20&#1055;&#1050;&#1043;&#1054;%20&#1076;&#1086;%202017%20&#1075;&#1086;&#1076;&#1072;\&#1043;&#1088;&#1072;&#1092;&#1080;&#1082;&#1080;%20&#1076;&#1086;%202017.xlsx" TargetMode="External"/></Relationships>
</file>

<file path=word/charts/_rels/chart30.xml.rels><?xml version="1.0" encoding="UTF-8" standalone="yes"?>
<Relationships xmlns="http://schemas.openxmlformats.org/package/2006/relationships"><Relationship Id="rId2" Type="http://schemas.openxmlformats.org/officeDocument/2006/relationships/package" Target="../embeddings/_____Microsoft_Office_Excel13.xlsx"/><Relationship Id="rId1" Type="http://schemas.openxmlformats.org/officeDocument/2006/relationships/themeOverride" Target="../theme/themeOverride7.xml"/></Relationships>
</file>

<file path=word/charts/_rels/chart31.xml.rels><?xml version="1.0" encoding="UTF-8" standalone="yes"?>
<Relationships xmlns="http://schemas.openxmlformats.org/package/2006/relationships"><Relationship Id="rId2" Type="http://schemas.openxmlformats.org/officeDocument/2006/relationships/oleObject" Target="&#1050;&#1085;&#1080;&#1075;&#1072;1" TargetMode="External"/><Relationship Id="rId1" Type="http://schemas.openxmlformats.org/officeDocument/2006/relationships/themeOverride" Target="../theme/themeOverride8.xml"/></Relationships>
</file>

<file path=word/charts/_rels/chart32.xml.rels><?xml version="1.0" encoding="UTF-8" standalone="yes"?>
<Relationships xmlns="http://schemas.openxmlformats.org/package/2006/relationships"><Relationship Id="rId2" Type="http://schemas.openxmlformats.org/officeDocument/2006/relationships/oleObject" Target="&#1050;&#1085;&#1080;&#1075;&#1072;1" TargetMode="External"/><Relationship Id="rId1" Type="http://schemas.openxmlformats.org/officeDocument/2006/relationships/themeOverride" Target="../theme/themeOverride9.xml"/></Relationships>
</file>

<file path=word/charts/_rels/chart4.xml.rels><?xml version="1.0" encoding="UTF-8" standalone="yes"?>
<Relationships xmlns="http://schemas.openxmlformats.org/package/2006/relationships"><Relationship Id="rId2" Type="http://schemas.openxmlformats.org/officeDocument/2006/relationships/oleObject" Target="file:///C:\Users\NKazakova\Documents\&#1055;&#1088;&#1086;&#1075;&#1085;&#1086;&#1079;%20&#1076;&#1086;%202017%20&#1075;&#1086;&#1076;&#1072;\&#1043;&#1088;&#1072;&#1092;&#1080;&#1082;&#1080;%20&#1076;&#1086;%202017.xlsx" TargetMode="External"/><Relationship Id="rId1" Type="http://schemas.openxmlformats.org/officeDocument/2006/relationships/image" Target="../media/image2.jpeg"/></Relationships>
</file>

<file path=word/charts/_rels/chart5.xml.rels><?xml version="1.0" encoding="UTF-8" standalone="yes"?>
<Relationships xmlns="http://schemas.openxmlformats.org/package/2006/relationships"><Relationship Id="rId1" Type="http://schemas.openxmlformats.org/officeDocument/2006/relationships/oleObject" Target="file:///F:\&#1055;&#1088;&#1086;&#1075;&#1085;&#1086;&#1079;%20&#1076;&#1086;%202017%20&#1075;&#1086;&#1076;&#1072;\&#1043;&#1088;&#1072;&#1092;&#1080;&#1082;&#1080;%20&#1076;&#1086;%202017.xlsx" TargetMode="External"/></Relationships>
</file>

<file path=word/charts/_rels/chart6.xml.rels><?xml version="1.0" encoding="UTF-8" standalone="yes"?>
<Relationships xmlns="http://schemas.openxmlformats.org/package/2006/relationships"><Relationship Id="rId2" Type="http://schemas.openxmlformats.org/officeDocument/2006/relationships/oleObject" Target="file:///C:\Users\NKazakova\Documents\&#1055;&#1088;&#1086;&#1075;&#1085;&#1086;&#1079;%20&#1076;&#1086;%202017%20&#1075;&#1086;&#1076;&#1072;\&#1043;&#1088;&#1072;&#1092;&#1080;&#1082;&#1080;%20&#1076;&#1086;%202017.xlsx" TargetMode="External"/><Relationship Id="rId1" Type="http://schemas.openxmlformats.org/officeDocument/2006/relationships/image" Target="../media/image3.jpeg"/></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rotX val="75"/>
      <c:perspective val="30"/>
    </c:view3D>
    <c:plotArea>
      <c:layout>
        <c:manualLayout>
          <c:layoutTarget val="inner"/>
          <c:xMode val="edge"/>
          <c:yMode val="edge"/>
          <c:x val="6.753200153778284E-2"/>
          <c:y val="9.9537037037037465E-2"/>
          <c:w val="0.52109638193959928"/>
          <c:h val="0.77314814814814992"/>
        </c:manualLayout>
      </c:layout>
      <c:pie3DChart>
        <c:varyColors val="1"/>
        <c:ser>
          <c:idx val="0"/>
          <c:order val="0"/>
          <c:explosion val="25"/>
          <c:dPt>
            <c:idx val="0"/>
            <c:spPr>
              <a:solidFill>
                <a:srgbClr val="FF0000"/>
              </a:solidFill>
            </c:spPr>
          </c:dPt>
          <c:dPt>
            <c:idx val="1"/>
            <c:spPr>
              <a:gradFill flip="none" rotWithShape="1">
                <a:gsLst>
                  <a:gs pos="0">
                    <a:srgbClr val="C0504D">
                      <a:lumMod val="75000"/>
                      <a:shade val="30000"/>
                      <a:satMod val="115000"/>
                    </a:srgbClr>
                  </a:gs>
                  <a:gs pos="50000">
                    <a:srgbClr val="C0504D">
                      <a:lumMod val="75000"/>
                      <a:shade val="67500"/>
                      <a:satMod val="115000"/>
                    </a:srgbClr>
                  </a:gs>
                  <a:gs pos="100000">
                    <a:srgbClr val="C0504D">
                      <a:lumMod val="75000"/>
                      <a:shade val="100000"/>
                      <a:satMod val="115000"/>
                    </a:srgbClr>
                  </a:gs>
                </a:gsLst>
                <a:path path="circle">
                  <a:fillToRect l="50000" t="50000" r="50000" b="50000"/>
                </a:path>
                <a:tileRect/>
              </a:gradFill>
            </c:spPr>
          </c:dPt>
          <c:dPt>
            <c:idx val="2"/>
            <c:spPr>
              <a:gradFill flip="none" rotWithShape="1">
                <a:gsLst>
                  <a:gs pos="0">
                    <a:srgbClr val="00B050">
                      <a:shade val="30000"/>
                      <a:satMod val="115000"/>
                    </a:srgbClr>
                  </a:gs>
                  <a:gs pos="50000">
                    <a:srgbClr val="00B050">
                      <a:shade val="67500"/>
                      <a:satMod val="115000"/>
                    </a:srgbClr>
                  </a:gs>
                  <a:gs pos="100000">
                    <a:srgbClr val="00B050">
                      <a:shade val="100000"/>
                      <a:satMod val="115000"/>
                    </a:srgbClr>
                  </a:gs>
                </a:gsLst>
                <a:lin ang="10800000" scaled="1"/>
                <a:tileRect/>
              </a:gradFill>
            </c:spPr>
          </c:dPt>
          <c:dLbls>
            <c:dLbl>
              <c:idx val="0"/>
              <c:layout>
                <c:manualLayout>
                  <c:x val="7.3498797025372334E-2"/>
                  <c:y val="3.1682341790609719E-2"/>
                </c:manualLayout>
              </c:layout>
              <c:tx>
                <c:rich>
                  <a:bodyPr/>
                  <a:lstStyle/>
                  <a:p>
                    <a:r>
                      <a:rPr lang="en-US" b="1"/>
                      <a:t>0</a:t>
                    </a:r>
                    <a:r>
                      <a:rPr lang="en-US"/>
                      <a:t>,34</a:t>
                    </a:r>
                    <a:r>
                      <a:rPr lang="ru-RU"/>
                      <a:t> %</a:t>
                    </a:r>
                    <a:endParaRPr lang="en-US"/>
                  </a:p>
                </c:rich>
              </c:tx>
              <c:showVal val="1"/>
            </c:dLbl>
            <c:dLbl>
              <c:idx val="1"/>
              <c:layout>
                <c:manualLayout>
                  <c:x val="3.7353455818022918E-3"/>
                  <c:y val="4.0986803732866804E-2"/>
                </c:manualLayout>
              </c:layout>
              <c:tx>
                <c:rich>
                  <a:bodyPr/>
                  <a:lstStyle/>
                  <a:p>
                    <a:r>
                      <a:rPr lang="en-US" b="1"/>
                      <a:t>7</a:t>
                    </a:r>
                    <a:r>
                      <a:rPr lang="en-US"/>
                      <a:t>3,79</a:t>
                    </a:r>
                    <a:r>
                      <a:rPr lang="ru-RU"/>
                      <a:t> %</a:t>
                    </a:r>
                    <a:endParaRPr lang="en-US"/>
                  </a:p>
                </c:rich>
              </c:tx>
              <c:showVal val="1"/>
            </c:dLbl>
            <c:dLbl>
              <c:idx val="2"/>
              <c:layout>
                <c:manualLayout>
                  <c:x val="-3.3182414698162729E-2"/>
                  <c:y val="-1.6321084864391981E-2"/>
                </c:manualLayout>
              </c:layout>
              <c:tx>
                <c:rich>
                  <a:bodyPr/>
                  <a:lstStyle/>
                  <a:p>
                    <a:r>
                      <a:rPr lang="en-US" b="1"/>
                      <a:t>2</a:t>
                    </a:r>
                    <a:r>
                      <a:rPr lang="en-US"/>
                      <a:t>5,86</a:t>
                    </a:r>
                    <a:r>
                      <a:rPr lang="ru-RU"/>
                      <a:t> %</a:t>
                    </a:r>
                    <a:endParaRPr lang="en-US"/>
                  </a:p>
                </c:rich>
              </c:tx>
              <c:showVal val="1"/>
            </c:dLbl>
            <c:txPr>
              <a:bodyPr/>
              <a:lstStyle/>
              <a:p>
                <a:pPr>
                  <a:defRPr b="1"/>
                </a:pPr>
                <a:endParaRPr lang="ru-RU"/>
              </a:p>
            </c:txPr>
            <c:showVal val="1"/>
            <c:showLeaderLines val="1"/>
          </c:dLbls>
          <c:cat>
            <c:strRef>
              <c:f>Лист2!$E$9:$E$11</c:f>
              <c:strCache>
                <c:ptCount val="3"/>
                <c:pt idx="0">
                  <c:v>добыча полезных ископаемых</c:v>
                </c:pt>
                <c:pt idx="1">
                  <c:v>обрабатывающие производства</c:v>
                </c:pt>
                <c:pt idx="2">
                  <c:v>производство и распределение электроэнергии, газа и воды</c:v>
                </c:pt>
              </c:strCache>
            </c:strRef>
          </c:cat>
          <c:val>
            <c:numRef>
              <c:f>Лист2!$F$9:$F$11</c:f>
              <c:numCache>
                <c:formatCode>General</c:formatCode>
                <c:ptCount val="3"/>
                <c:pt idx="0">
                  <c:v>0.34000000000000086</c:v>
                </c:pt>
                <c:pt idx="1">
                  <c:v>73.790000000000006</c:v>
                </c:pt>
                <c:pt idx="2">
                  <c:v>25.86</c:v>
                </c:pt>
              </c:numCache>
            </c:numRef>
          </c:val>
        </c:ser>
      </c:pie3DChart>
    </c:plotArea>
    <c:legend>
      <c:legendPos val="r"/>
      <c:layout>
        <c:manualLayout>
          <c:xMode val="edge"/>
          <c:yMode val="edge"/>
          <c:x val="0.65172948318169599"/>
          <c:y val="0.11343759113444121"/>
          <c:w val="0.30969313210848626"/>
          <c:h val="0.67127296587926255"/>
        </c:manualLayout>
      </c:layout>
    </c:legend>
    <c:plotVisOnly val="1"/>
    <c:dispBlanksAs val="zero"/>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Лист3!$A$32</c:f>
              <c:strCache>
                <c:ptCount val="1"/>
                <c:pt idx="0">
                  <c:v>Инвестиции в основной капитал за счет всех источников финансирования, млн рублей</c:v>
                </c:pt>
              </c:strCache>
            </c:strRef>
          </c:tx>
          <c:spPr>
            <a:gradFill flip="none" rotWithShape="1">
              <a:gsLst>
                <a:gs pos="0">
                  <a:srgbClr val="00B0F0">
                    <a:shade val="30000"/>
                    <a:satMod val="115000"/>
                  </a:srgbClr>
                </a:gs>
                <a:gs pos="50000">
                  <a:srgbClr val="00B0F0">
                    <a:shade val="67500"/>
                    <a:satMod val="115000"/>
                  </a:srgbClr>
                </a:gs>
                <a:gs pos="100000">
                  <a:srgbClr val="00B0F0">
                    <a:shade val="100000"/>
                    <a:satMod val="115000"/>
                  </a:srgbClr>
                </a:gs>
              </a:gsLst>
              <a:lin ang="18900000" scaled="1"/>
              <a:tileRect/>
            </a:gradFill>
            <a:ln>
              <a:noFill/>
            </a:ln>
            <a:effectLst/>
          </c:spPr>
          <c:dPt>
            <c:idx val="0"/>
            <c:spPr>
              <a:solidFill>
                <a:srgbClr val="00B0F0"/>
              </a:solidFill>
              <a:ln>
                <a:noFill/>
              </a:ln>
              <a:effectLst/>
            </c:spPr>
          </c:dPt>
          <c:dPt>
            <c:idx val="1"/>
            <c:spPr>
              <a:solidFill>
                <a:srgbClr val="00B0F0"/>
              </a:solidFill>
              <a:ln>
                <a:noFill/>
              </a:ln>
              <a:effectLst/>
            </c:spPr>
          </c:dPt>
          <c:dPt>
            <c:idx val="2"/>
            <c:spPr>
              <a:solidFill>
                <a:srgbClr val="00B0F0"/>
              </a:solidFill>
              <a:ln>
                <a:noFill/>
              </a:ln>
              <a:effectLst/>
            </c:spPr>
          </c:dPt>
          <c:dPt>
            <c:idx val="3"/>
            <c:spPr>
              <a:solidFill>
                <a:srgbClr val="00B050"/>
              </a:solidFill>
              <a:ln>
                <a:noFill/>
              </a:ln>
              <a:effectLst/>
            </c:spPr>
          </c:dPt>
          <c:dPt>
            <c:idx val="4"/>
            <c:spPr>
              <a:solidFill>
                <a:srgbClr val="00B0F0"/>
              </a:solidFill>
              <a:ln>
                <a:noFill/>
              </a:ln>
              <a:effectLst/>
            </c:spPr>
          </c:dPt>
          <c:dPt>
            <c:idx val="5"/>
            <c:spPr>
              <a:solidFill>
                <a:srgbClr val="00B050"/>
              </a:solidFill>
              <a:ln>
                <a:solidFill>
                  <a:srgbClr val="00B050"/>
                </a:solidFill>
              </a:ln>
              <a:effectLst/>
            </c:spPr>
          </c:dPt>
          <c:dPt>
            <c:idx val="6"/>
            <c:spPr>
              <a:solidFill>
                <a:srgbClr val="00B0F0"/>
              </a:solidFill>
              <a:ln>
                <a:noFill/>
              </a:ln>
              <a:effectLst/>
            </c:spPr>
          </c:dPt>
          <c:dPt>
            <c:idx val="7"/>
            <c:spPr>
              <a:solidFill>
                <a:srgbClr val="00B050"/>
              </a:solidFill>
              <a:ln>
                <a:noFill/>
              </a:ln>
              <a:effectLst/>
            </c:spPr>
          </c:dPt>
          <c:dLbls>
            <c:dLbl>
              <c:idx val="0"/>
              <c:layout>
                <c:manualLayout>
                  <c:x val="1.2731334408020266E-17"/>
                  <c:y val="0.16203703703703787"/>
                </c:manualLayout>
              </c:layout>
              <c:showVal val="1"/>
              <c:extLst>
                <c:ext xmlns:c15="http://schemas.microsoft.com/office/drawing/2012/chart" uri="{CE6537A1-D6FC-4f65-9D91-7224C49458BB}">
                  <c15:layout/>
                </c:ext>
              </c:extLst>
            </c:dLbl>
            <c:dLbl>
              <c:idx val="1"/>
              <c:layout>
                <c:manualLayout>
                  <c:x val="8.3333333333333228E-3"/>
                  <c:y val="0.22222222222222221"/>
                </c:manualLayout>
              </c:layout>
              <c:showVal val="1"/>
              <c:extLst>
                <c:ext xmlns:c15="http://schemas.microsoft.com/office/drawing/2012/chart" uri="{CE6537A1-D6FC-4f65-9D91-7224C49458BB}">
                  <c15:layout/>
                </c:ext>
              </c:extLst>
            </c:dLbl>
            <c:dLbl>
              <c:idx val="2"/>
              <c:layout>
                <c:manualLayout>
                  <c:x val="1.388888888888893E-2"/>
                  <c:y val="0.18055555555555555"/>
                </c:manualLayout>
              </c:layout>
              <c:showVal val="1"/>
              <c:extLst>
                <c:ext xmlns:c15="http://schemas.microsoft.com/office/drawing/2012/chart" uri="{CE6537A1-D6FC-4f65-9D91-7224C49458BB}">
                  <c15:layout/>
                </c:ext>
              </c:extLst>
            </c:dLbl>
            <c:dLbl>
              <c:idx val="3"/>
              <c:layout>
                <c:manualLayout>
                  <c:x val="0"/>
                  <c:y val="0.3573272226420629"/>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rgbClr val="C00000"/>
                      </a:solidFill>
                      <a:latin typeface="Times New Roman" pitchFamily="18" charset="0"/>
                      <a:ea typeface="+mn-ea"/>
                      <a:cs typeface="Times New Roman" pitchFamily="18" charset="0"/>
                    </a:defRPr>
                  </a:pPr>
                  <a:endParaRPr lang="ru-RU"/>
                </a:p>
              </c:txPr>
              <c:showVal val="1"/>
            </c:dLbl>
            <c:dLbl>
              <c:idx val="4"/>
              <c:layout>
                <c:manualLayout>
                  <c:x val="0"/>
                  <c:y val="0.18055555555555555"/>
                </c:manualLayout>
              </c:layout>
              <c:showVal val="1"/>
              <c:extLst>
                <c:ext xmlns:c15="http://schemas.microsoft.com/office/drawing/2012/chart" uri="{CE6537A1-D6FC-4f65-9D91-7224C49458BB}">
                  <c15:layout/>
                </c:ext>
              </c:extLst>
            </c:dLbl>
            <c:dLbl>
              <c:idx val="5"/>
              <c:layout>
                <c:manualLayout>
                  <c:x val="0"/>
                  <c:y val="0.41137726205277142"/>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rgbClr val="C00000"/>
                      </a:solidFill>
                      <a:latin typeface="Times New Roman" pitchFamily="18" charset="0"/>
                      <a:ea typeface="+mn-ea"/>
                      <a:cs typeface="Times New Roman" pitchFamily="18" charset="0"/>
                    </a:defRPr>
                  </a:pPr>
                  <a:endParaRPr lang="ru-RU"/>
                </a:p>
              </c:txPr>
              <c:showVal val="1"/>
              <c:extLst>
                <c:ext xmlns:c15="http://schemas.microsoft.com/office/drawing/2012/chart" uri="{CE6537A1-D6FC-4f65-9D91-7224C49458BB}">
                  <c15:layout/>
                </c:ext>
              </c:extLst>
            </c:dLbl>
            <c:dLbl>
              <c:idx val="6"/>
              <c:layout>
                <c:manualLayout>
                  <c:x val="-8.3333333333334546E-3"/>
                  <c:y val="0.18518518518518601"/>
                </c:manualLayout>
              </c:layout>
              <c:showVal val="1"/>
              <c:extLst>
                <c:ext xmlns:c15="http://schemas.microsoft.com/office/drawing/2012/chart" uri="{CE6537A1-D6FC-4f65-9D91-7224C49458BB}">
                  <c15:layout/>
                </c:ext>
              </c:extLst>
            </c:dLbl>
            <c:dLbl>
              <c:idx val="7"/>
              <c:layout>
                <c:manualLayout>
                  <c:x val="-2.777996500437474E-3"/>
                  <c:y val="0.45153945540089224"/>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rgbClr val="C00000"/>
                      </a:solidFill>
                      <a:latin typeface="Times New Roman" pitchFamily="18" charset="0"/>
                      <a:ea typeface="+mn-ea"/>
                      <a:cs typeface="Times New Roman" pitchFamily="18" charset="0"/>
                    </a:defRPr>
                  </a:pPr>
                  <a:endParaRPr lang="ru-RU"/>
                </a:p>
              </c:txPr>
              <c:showVal val="1"/>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itchFamily="18" charset="0"/>
                    <a:ea typeface="+mn-ea"/>
                    <a:cs typeface="Times New Roman" pitchFamily="18" charset="0"/>
                  </a:defRPr>
                </a:pPr>
                <a:endParaRPr lang="ru-RU"/>
              </a:p>
            </c:txPr>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Лист3!$B$31:$I$31</c:f>
              <c:strCache>
                <c:ptCount val="8"/>
                <c:pt idx="0">
                  <c:v>2013</c:v>
                </c:pt>
                <c:pt idx="1">
                  <c:v>2014 оценка</c:v>
                </c:pt>
                <c:pt idx="2">
                  <c:v>1 вар. 2015</c:v>
                </c:pt>
                <c:pt idx="3">
                  <c:v>2 вар. 2015</c:v>
                </c:pt>
                <c:pt idx="4">
                  <c:v>1 вар. 2016</c:v>
                </c:pt>
                <c:pt idx="5">
                  <c:v>2 вар. 2016</c:v>
                </c:pt>
                <c:pt idx="6">
                  <c:v>1 вар. 2017</c:v>
                </c:pt>
                <c:pt idx="7">
                  <c:v>2 вар. 2017 </c:v>
                </c:pt>
              </c:strCache>
            </c:strRef>
          </c:cat>
          <c:val>
            <c:numRef>
              <c:f>Лист3!$B$32:$I$32</c:f>
              <c:numCache>
                <c:formatCode>#,##0.00</c:formatCode>
                <c:ptCount val="8"/>
                <c:pt idx="0">
                  <c:v>23789.9</c:v>
                </c:pt>
                <c:pt idx="1">
                  <c:v>24972.84</c:v>
                </c:pt>
                <c:pt idx="2">
                  <c:v>26738.89</c:v>
                </c:pt>
                <c:pt idx="3">
                  <c:v>27819.74</c:v>
                </c:pt>
                <c:pt idx="4">
                  <c:v>27541.06</c:v>
                </c:pt>
                <c:pt idx="5">
                  <c:v>31992.7</c:v>
                </c:pt>
                <c:pt idx="6">
                  <c:v>28642.7</c:v>
                </c:pt>
                <c:pt idx="7">
                  <c:v>36791.61</c:v>
                </c:pt>
              </c:numCache>
            </c:numRef>
          </c:val>
        </c:ser>
        <c:gapWidth val="219"/>
        <c:overlap val="-27"/>
        <c:axId val="190363904"/>
        <c:axId val="187830272"/>
      </c:barChart>
      <c:lineChart>
        <c:grouping val="standard"/>
        <c:ser>
          <c:idx val="1"/>
          <c:order val="1"/>
          <c:tx>
            <c:strRef>
              <c:f>Лист3!$A$33</c:f>
              <c:strCache>
                <c:ptCount val="1"/>
                <c:pt idx="0">
                  <c:v>Индекс физического объема, % ( 1 вариант)</c:v>
                </c:pt>
              </c:strCache>
            </c:strRef>
          </c:tx>
          <c:spPr>
            <a:ln w="38100" cap="rnd">
              <a:solidFill>
                <a:schemeClr val="accent2"/>
              </a:solidFill>
              <a:round/>
            </a:ln>
            <a:effectLst/>
          </c:spPr>
          <c:marker>
            <c:symbol val="circle"/>
            <c:size val="5"/>
            <c:spPr>
              <a:solidFill>
                <a:srgbClr val="00B0F0"/>
              </a:solidFill>
              <a:ln w="38100">
                <a:solidFill>
                  <a:schemeClr val="accent2"/>
                </a:solidFill>
              </a:ln>
              <a:effectLst/>
            </c:spPr>
          </c:marker>
          <c:dLbls>
            <c:dLbl>
              <c:idx val="1"/>
              <c:delete val="1"/>
              <c:extLst>
                <c:ext xmlns:c15="http://schemas.microsoft.com/office/drawing/2012/chart" uri="{CE6537A1-D6FC-4f65-9D91-7224C49458BB}">
                  <c15:layout/>
                </c:ext>
              </c:extLst>
            </c:dLbl>
            <c:dLbl>
              <c:idx val="2"/>
              <c:layout>
                <c:manualLayout>
                  <c:x val="-8.3333333333333367E-3"/>
                  <c:y val="-1.3000170644304244E-2"/>
                </c:manualLayout>
              </c:layout>
              <c:showVal val="1"/>
              <c:extLst>
                <c:ext xmlns:c15="http://schemas.microsoft.com/office/drawing/2012/chart" uri="{CE6537A1-D6FC-4f65-9D91-7224C49458BB}">
                  <c15:layout/>
                </c:ext>
              </c:extLst>
            </c:dLbl>
            <c:dLbl>
              <c:idx val="3"/>
              <c:delete val="1"/>
              <c:extLst>
                <c:ext xmlns:c15="http://schemas.microsoft.com/office/drawing/2012/chart" uri="{CE6537A1-D6FC-4f65-9D91-7224C49458BB}">
                  <c15:layout/>
                </c:ext>
              </c:extLst>
            </c:dLbl>
            <c:dLbl>
              <c:idx val="4"/>
              <c:layout>
                <c:manualLayout>
                  <c:x val="-2.7777777777778065E-3"/>
                  <c:y val="-1.68989866978702E-2"/>
                </c:manualLayout>
              </c:layout>
              <c:showVal val="1"/>
              <c:extLst>
                <c:ext xmlns:c15="http://schemas.microsoft.com/office/drawing/2012/chart" uri="{CE6537A1-D6FC-4f65-9D91-7224C49458BB}">
                  <c15:layout/>
                </c:ext>
              </c:extLst>
            </c:dLbl>
            <c:dLbl>
              <c:idx val="5"/>
              <c:delete val="1"/>
              <c:extLst>
                <c:ext xmlns:c15="http://schemas.microsoft.com/office/drawing/2012/chart" uri="{CE6537A1-D6FC-4f65-9D91-7224C49458BB}">
                  <c15:layout/>
                </c:ext>
              </c:extLst>
            </c:dLbl>
            <c:dLbl>
              <c:idx val="6"/>
              <c:layout>
                <c:manualLayout>
                  <c:x val="-8.3335520559930584E-3"/>
                  <c:y val="-3.0787807870765582E-2"/>
                </c:manualLayout>
              </c:layout>
              <c:showVal val="1"/>
              <c:extLst>
                <c:ext xmlns:c15="http://schemas.microsoft.com/office/drawing/2012/chart" uri="{CE6537A1-D6FC-4f65-9D91-7224C49458BB}">
                  <c15:layout/>
                </c:ext>
              </c:extLst>
            </c:dLbl>
            <c:dLbl>
              <c:idx val="7"/>
              <c:delete val="1"/>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ru-RU"/>
              </a:p>
            </c:txPr>
            <c:showVal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Лист3!$B$31:$I$31</c:f>
              <c:strCache>
                <c:ptCount val="8"/>
                <c:pt idx="0">
                  <c:v>2013</c:v>
                </c:pt>
                <c:pt idx="1">
                  <c:v>2014 оценка</c:v>
                </c:pt>
                <c:pt idx="2">
                  <c:v>1 вар. 2015</c:v>
                </c:pt>
                <c:pt idx="3">
                  <c:v>2 вар. 2015</c:v>
                </c:pt>
                <c:pt idx="4">
                  <c:v>1 вар. 2016</c:v>
                </c:pt>
                <c:pt idx="5">
                  <c:v>2 вар. 2016</c:v>
                </c:pt>
                <c:pt idx="6">
                  <c:v>1 вар. 2017</c:v>
                </c:pt>
                <c:pt idx="7">
                  <c:v>2 вар. 2017 </c:v>
                </c:pt>
              </c:strCache>
            </c:strRef>
          </c:cat>
          <c:val>
            <c:numRef>
              <c:f>Лист3!$B$33:$I$33</c:f>
              <c:numCache>
                <c:formatCode>#,##0.00</c:formatCode>
                <c:ptCount val="8"/>
                <c:pt idx="0">
                  <c:v>81.900000000000006</c:v>
                </c:pt>
                <c:pt idx="1">
                  <c:v>100.2</c:v>
                </c:pt>
                <c:pt idx="2">
                  <c:v>100.5</c:v>
                </c:pt>
                <c:pt idx="3">
                  <c:v>99.7</c:v>
                </c:pt>
                <c:pt idx="4">
                  <c:v>99.4</c:v>
                </c:pt>
                <c:pt idx="5">
                  <c:v>99.6</c:v>
                </c:pt>
                <c:pt idx="6">
                  <c:v>100</c:v>
                </c:pt>
              </c:numCache>
            </c:numRef>
          </c:val>
        </c:ser>
        <c:ser>
          <c:idx val="2"/>
          <c:order val="2"/>
          <c:tx>
            <c:strRef>
              <c:f>Лист3!$A$34</c:f>
              <c:strCache>
                <c:ptCount val="1"/>
                <c:pt idx="0">
                  <c:v>Индекс физического объема, % ( 2 вариант)</c:v>
                </c:pt>
              </c:strCache>
            </c:strRef>
          </c:tx>
          <c:spPr>
            <a:ln w="38100" cap="rnd">
              <a:solidFill>
                <a:srgbClr val="00B050"/>
              </a:solidFill>
              <a:prstDash val="sysDash"/>
              <a:round/>
            </a:ln>
            <a:effectLst/>
          </c:spPr>
          <c:marker>
            <c:symbol val="circle"/>
            <c:size val="5"/>
            <c:spPr>
              <a:solidFill>
                <a:schemeClr val="tx1"/>
              </a:solidFill>
              <a:ln w="38100">
                <a:solidFill>
                  <a:srgbClr val="00B050"/>
                </a:solidFill>
                <a:prstDash val="sysDash"/>
              </a:ln>
              <a:effectLst/>
            </c:spPr>
          </c:marker>
          <c:dPt>
            <c:idx val="0"/>
            <c:marker>
              <c:spPr>
                <a:solidFill>
                  <a:schemeClr val="tx1"/>
                </a:solidFill>
                <a:ln w="28575">
                  <a:solidFill>
                    <a:srgbClr val="00B050"/>
                  </a:solidFill>
                  <a:prstDash val="sysDash"/>
                </a:ln>
                <a:effectLst/>
              </c:spPr>
            </c:marker>
            <c:spPr>
              <a:ln w="28575" cap="rnd">
                <a:solidFill>
                  <a:srgbClr val="00B050"/>
                </a:solidFill>
                <a:prstDash val="sysDash"/>
                <a:round/>
              </a:ln>
              <a:effectLst/>
            </c:spPr>
          </c:dPt>
          <c:dPt>
            <c:idx val="1"/>
            <c:marker>
              <c:spPr>
                <a:solidFill>
                  <a:schemeClr val="tx1"/>
                </a:solidFill>
                <a:ln w="28575">
                  <a:solidFill>
                    <a:srgbClr val="00B050"/>
                  </a:solidFill>
                  <a:prstDash val="solid"/>
                </a:ln>
                <a:effectLst/>
              </c:spPr>
            </c:marker>
            <c:spPr>
              <a:ln w="28575" cap="rnd">
                <a:solidFill>
                  <a:srgbClr val="00B050"/>
                </a:solidFill>
                <a:prstDash val="solid"/>
                <a:round/>
              </a:ln>
              <a:effectLst/>
            </c:spPr>
          </c:dPt>
          <c:dLbls>
            <c:dLbl>
              <c:idx val="1"/>
              <c:layout>
                <c:manualLayout>
                  <c:x val="-4.4444444444444502E-2"/>
                  <c:y val="-3.6033576298318742E-2"/>
                </c:manualLayout>
              </c:layout>
              <c:tx>
                <c:rich>
                  <a:bodyPr/>
                  <a:lstStyle/>
                  <a:p>
                    <a:r>
                      <a:rPr lang="en-US" b="1"/>
                      <a:t>100,20</a:t>
                    </a:r>
                  </a:p>
                </c:rich>
              </c:tx>
              <c:showVal val="1"/>
              <c:extLst>
                <c:ext xmlns:c15="http://schemas.microsoft.com/office/drawing/2012/chart" uri="{CE6537A1-D6FC-4f65-9D91-7224C49458BB}">
                  <c15:layout/>
                </c:ext>
              </c:extLst>
            </c:dLbl>
            <c:dLbl>
              <c:idx val="2"/>
              <c:delete val="1"/>
              <c:extLst>
                <c:ext xmlns:c15="http://schemas.microsoft.com/office/drawing/2012/chart" uri="{CE6537A1-D6FC-4f65-9D91-7224C49458BB}">
                  <c15:layout/>
                </c:ext>
              </c:extLst>
            </c:dLbl>
            <c:dLbl>
              <c:idx val="3"/>
              <c:layout>
                <c:manualLayout>
                  <c:x val="-5.5555555555555455E-2"/>
                  <c:y val="-4.1666666666666692E-2"/>
                </c:manualLayout>
              </c:layout>
              <c:showVal val="1"/>
              <c:extLst>
                <c:ext xmlns:c15="http://schemas.microsoft.com/office/drawing/2012/chart" uri="{CE6537A1-D6FC-4f65-9D91-7224C49458BB}">
                  <c15:layout/>
                </c:ext>
              </c:extLst>
            </c:dLbl>
            <c:dLbl>
              <c:idx val="4"/>
              <c:delete val="1"/>
              <c:extLst>
                <c:ext xmlns:c15="http://schemas.microsoft.com/office/drawing/2012/chart" uri="{CE6537A1-D6FC-4f65-9D91-7224C49458BB}">
                  <c15:layout/>
                </c:ext>
              </c:extLst>
            </c:dLbl>
            <c:dLbl>
              <c:idx val="5"/>
              <c:layout>
                <c:manualLayout>
                  <c:x val="-4.1666666666666664E-2"/>
                  <c:y val="-4.1666666666666664E-2"/>
                </c:manualLayout>
              </c:layout>
              <c:showVal val="1"/>
              <c:extLst>
                <c:ext xmlns:c15="http://schemas.microsoft.com/office/drawing/2012/chart" uri="{CE6537A1-D6FC-4f65-9D91-7224C49458BB}">
                  <c15:layout/>
                </c:ext>
              </c:extLst>
            </c:dLbl>
            <c:dLbl>
              <c:idx val="6"/>
              <c:delete val="1"/>
              <c:extLst>
                <c:ext xmlns:c15="http://schemas.microsoft.com/office/drawing/2012/chart" uri="{CE6537A1-D6FC-4f65-9D91-7224C49458BB}">
                  <c15:layout/>
                </c:ext>
              </c:extLst>
            </c:dLbl>
            <c:dLbl>
              <c:idx val="7"/>
              <c:layout>
                <c:manualLayout>
                  <c:x val="-4.1666666666666664E-2"/>
                  <c:y val="-3.7037037037037056E-2"/>
                </c:manualLayout>
              </c:layout>
              <c:showVal val="1"/>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Лист3!$B$31:$I$31</c:f>
              <c:strCache>
                <c:ptCount val="8"/>
                <c:pt idx="0">
                  <c:v>2013</c:v>
                </c:pt>
                <c:pt idx="1">
                  <c:v>2014 оценка</c:v>
                </c:pt>
                <c:pt idx="2">
                  <c:v>1 вар. 2015</c:v>
                </c:pt>
                <c:pt idx="3">
                  <c:v>2 вар. 2015</c:v>
                </c:pt>
                <c:pt idx="4">
                  <c:v>1 вар. 2016</c:v>
                </c:pt>
                <c:pt idx="5">
                  <c:v>2 вар. 2016</c:v>
                </c:pt>
                <c:pt idx="6">
                  <c:v>1 вар. 2017</c:v>
                </c:pt>
                <c:pt idx="7">
                  <c:v>2 вар. 2017 </c:v>
                </c:pt>
              </c:strCache>
            </c:strRef>
          </c:cat>
          <c:val>
            <c:numRef>
              <c:f>Лист3!$B$34:$I$34</c:f>
              <c:numCache>
                <c:formatCode>#,##0.00</c:formatCode>
                <c:ptCount val="8"/>
                <c:pt idx="0">
                  <c:v>81.900000000000006</c:v>
                </c:pt>
                <c:pt idx="1">
                  <c:v>100.2</c:v>
                </c:pt>
                <c:pt idx="2">
                  <c:v>104.3</c:v>
                </c:pt>
                <c:pt idx="3">
                  <c:v>107.5</c:v>
                </c:pt>
                <c:pt idx="4">
                  <c:v>108.4</c:v>
                </c:pt>
                <c:pt idx="5">
                  <c:v>109.21000000000002</c:v>
                </c:pt>
                <c:pt idx="6">
                  <c:v>109.45</c:v>
                </c:pt>
                <c:pt idx="7">
                  <c:v>109.73</c:v>
                </c:pt>
              </c:numCache>
            </c:numRef>
          </c:val>
        </c:ser>
        <c:marker val="1"/>
        <c:axId val="187833344"/>
        <c:axId val="187831808"/>
      </c:lineChart>
      <c:catAx>
        <c:axId val="190363904"/>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itchFamily="18" charset="0"/>
                <a:ea typeface="+mn-ea"/>
                <a:cs typeface="Times New Roman" pitchFamily="18" charset="0"/>
              </a:defRPr>
            </a:pPr>
            <a:endParaRPr lang="ru-RU"/>
          </a:p>
        </c:txPr>
        <c:crossAx val="187830272"/>
        <c:crosses val="autoZero"/>
        <c:auto val="1"/>
        <c:lblAlgn val="ctr"/>
        <c:lblOffset val="100"/>
      </c:catAx>
      <c:valAx>
        <c:axId val="187830272"/>
        <c:scaling>
          <c:orientation val="minMax"/>
          <c:max val="37000"/>
        </c:scaling>
        <c:axPos val="l"/>
        <c:majorGridlines>
          <c:spPr>
            <a:ln w="9525" cap="flat" cmpd="sng" algn="ctr">
              <a:solidFill>
                <a:schemeClr val="tx1">
                  <a:lumMod val="15000"/>
                  <a:lumOff val="85000"/>
                </a:schemeClr>
              </a:solidFill>
              <a:round/>
            </a:ln>
            <a:effectLst/>
          </c:spPr>
        </c:majorGridlines>
        <c:numFmt formatCode="#,##0" sourceLinked="0"/>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90363904"/>
        <c:crosses val="autoZero"/>
        <c:crossBetween val="between"/>
      </c:valAx>
      <c:valAx>
        <c:axId val="187831808"/>
        <c:scaling>
          <c:orientation val="minMax"/>
          <c:max val="111"/>
          <c:min val="80"/>
        </c:scaling>
        <c:axPos val="r"/>
        <c:numFmt formatCode="#,##0" sourceLinked="0"/>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87833344"/>
        <c:crosses val="max"/>
        <c:crossBetween val="between"/>
      </c:valAx>
      <c:catAx>
        <c:axId val="187833344"/>
        <c:scaling>
          <c:orientation val="minMax"/>
        </c:scaling>
        <c:delete val="1"/>
        <c:axPos val="b"/>
        <c:numFmt formatCode="General" sourceLinked="1"/>
        <c:tickLblPos val="none"/>
        <c:crossAx val="187831808"/>
        <c:crosses val="autoZero"/>
        <c:auto val="1"/>
        <c:lblAlgn val="ctr"/>
        <c:lblOffset val="100"/>
      </c:catAx>
      <c:spPr>
        <a:noFill/>
        <a:ln>
          <a:noFill/>
        </a:ln>
        <a:effectLst/>
      </c:spPr>
    </c:plotArea>
    <c:legend>
      <c:legendPos val="b"/>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chart>
  <c:spPr>
    <a:solidFill>
      <a:schemeClr val="bg1"/>
    </a:solidFill>
    <a:ln w="9525" cap="flat" cmpd="sng" algn="ctr">
      <a:noFill/>
      <a:round/>
    </a:ln>
    <a:effectLst/>
  </c:spPr>
  <c:txPr>
    <a:bodyPr/>
    <a:lstStyle/>
    <a:p>
      <a:pPr>
        <a:defRPr/>
      </a:pPr>
      <a:endParaRPr lang="ru-RU"/>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lang val="ru-RU"/>
  <c:clrMapOvr bg1="lt1" tx1="dk1" bg2="lt2" tx2="dk2" accent1="accent1" accent2="accent2" accent3="accent3" accent4="accent4" accent5="accent5" accent6="accent6" hlink="hlink" folHlink="folHlink"/>
  <c:chart>
    <c:view3D>
      <c:rotX val="0"/>
      <c:rotY val="80"/>
      <c:perspective val="30"/>
    </c:view3D>
    <c:plotArea>
      <c:layout>
        <c:manualLayout>
          <c:layoutTarget val="inner"/>
          <c:xMode val="edge"/>
          <c:yMode val="edge"/>
          <c:x val="7.2644721493146741E-2"/>
          <c:y val="2.1124367029878851E-2"/>
          <c:w val="0.92735527850685362"/>
          <c:h val="0.58563234207374559"/>
        </c:manualLayout>
      </c:layout>
      <c:bar3DChart>
        <c:barDir val="col"/>
        <c:grouping val="standard"/>
        <c:ser>
          <c:idx val="0"/>
          <c:order val="0"/>
          <c:tx>
            <c:strRef>
              <c:f>Лист1!$B$1</c:f>
              <c:strCache>
                <c:ptCount val="1"/>
                <c:pt idx="0">
                  <c:v> Индекс потребительских цен на товары и услуги (1)</c:v>
                </c:pt>
              </c:strCache>
            </c:strRef>
          </c:tx>
          <c:dLbls>
            <c:txPr>
              <a:bodyPr/>
              <a:lstStyle/>
              <a:p>
                <a:pPr>
                  <a:defRPr b="1">
                    <a:latin typeface="Times New Roman" pitchFamily="18" charset="0"/>
                    <a:cs typeface="Times New Roman" pitchFamily="18" charset="0"/>
                  </a:defRPr>
                </a:pPr>
                <a:endParaRPr lang="ru-RU"/>
              </a:p>
            </c:txPr>
            <c:showVal val="1"/>
          </c:dLbls>
          <c:cat>
            <c:numRef>
              <c:f>Лист1!$A$2</c:f>
              <c:numCache>
                <c:formatCode>General</c:formatCode>
                <c:ptCount val="1"/>
              </c:numCache>
            </c:numRef>
          </c:cat>
          <c:val>
            <c:numRef>
              <c:f>Лист1!$B$2</c:f>
              <c:numCache>
                <c:formatCode>General</c:formatCode>
                <c:ptCount val="1"/>
                <c:pt idx="0">
                  <c:v>106.27</c:v>
                </c:pt>
              </c:numCache>
            </c:numRef>
          </c:val>
        </c:ser>
        <c:ser>
          <c:idx val="1"/>
          <c:order val="1"/>
          <c:tx>
            <c:strRef>
              <c:f>Лист1!$C$1</c:f>
              <c:strCache>
                <c:ptCount val="1"/>
                <c:pt idx="0">
                  <c:v>Все товары (2)</c:v>
                </c:pt>
              </c:strCache>
            </c:strRef>
          </c:tx>
          <c:dLbls>
            <c:txPr>
              <a:bodyPr/>
              <a:lstStyle/>
              <a:p>
                <a:pPr>
                  <a:defRPr b="1">
                    <a:latin typeface="Times New Roman" pitchFamily="18" charset="0"/>
                    <a:cs typeface="Times New Roman" pitchFamily="18" charset="0"/>
                  </a:defRPr>
                </a:pPr>
                <a:endParaRPr lang="ru-RU"/>
              </a:p>
            </c:txPr>
            <c:showVal val="1"/>
          </c:dLbls>
          <c:cat>
            <c:numRef>
              <c:f>Лист1!$A$2</c:f>
              <c:numCache>
                <c:formatCode>General</c:formatCode>
                <c:ptCount val="1"/>
              </c:numCache>
            </c:numRef>
          </c:cat>
          <c:val>
            <c:numRef>
              <c:f>Лист1!$C$2</c:f>
              <c:numCache>
                <c:formatCode>General</c:formatCode>
                <c:ptCount val="1"/>
                <c:pt idx="0">
                  <c:v>106.04</c:v>
                </c:pt>
              </c:numCache>
            </c:numRef>
          </c:val>
        </c:ser>
        <c:ser>
          <c:idx val="2"/>
          <c:order val="2"/>
          <c:tx>
            <c:strRef>
              <c:f>Лист1!$D$1</c:f>
              <c:strCache>
                <c:ptCount val="1"/>
                <c:pt idx="0">
                  <c:v>Продовольственные товары (3)</c:v>
                </c:pt>
              </c:strCache>
            </c:strRef>
          </c:tx>
          <c:dLbls>
            <c:txPr>
              <a:bodyPr anchor="t" anchorCtr="1"/>
              <a:lstStyle/>
              <a:p>
                <a:pPr>
                  <a:defRPr b="1">
                    <a:latin typeface="Times New Roman" pitchFamily="18" charset="0"/>
                    <a:cs typeface="Times New Roman" pitchFamily="18" charset="0"/>
                  </a:defRPr>
                </a:pPr>
                <a:endParaRPr lang="ru-RU"/>
              </a:p>
            </c:txPr>
            <c:showVal val="1"/>
          </c:dLbls>
          <c:cat>
            <c:numRef>
              <c:f>Лист1!$A$2</c:f>
              <c:numCache>
                <c:formatCode>General</c:formatCode>
                <c:ptCount val="1"/>
              </c:numCache>
            </c:numRef>
          </c:cat>
          <c:val>
            <c:numRef>
              <c:f>Лист1!$D$2</c:f>
              <c:numCache>
                <c:formatCode>General</c:formatCode>
                <c:ptCount val="1"/>
                <c:pt idx="0">
                  <c:v>106.48</c:v>
                </c:pt>
              </c:numCache>
            </c:numRef>
          </c:val>
        </c:ser>
        <c:ser>
          <c:idx val="3"/>
          <c:order val="3"/>
          <c:tx>
            <c:strRef>
              <c:f>Лист1!$E$1</c:f>
              <c:strCache>
                <c:ptCount val="1"/>
                <c:pt idx="0">
                  <c:v>Алкогольные напитки (4)</c:v>
                </c:pt>
              </c:strCache>
            </c:strRef>
          </c:tx>
          <c:dLbls>
            <c:dLbl>
              <c:idx val="0"/>
              <c:layout>
                <c:manualLayout>
                  <c:x val="1.8518518518518583E-2"/>
                  <c:y val="-2.0576131687242802E-2"/>
                </c:manualLayout>
              </c:layout>
              <c:showVal val="1"/>
            </c:dLbl>
            <c:txPr>
              <a:bodyPr/>
              <a:lstStyle/>
              <a:p>
                <a:pPr>
                  <a:defRPr b="1">
                    <a:latin typeface="Times New Roman" pitchFamily="18" charset="0"/>
                    <a:cs typeface="Times New Roman" pitchFamily="18" charset="0"/>
                  </a:defRPr>
                </a:pPr>
                <a:endParaRPr lang="ru-RU"/>
              </a:p>
            </c:txPr>
            <c:showVal val="1"/>
          </c:dLbls>
          <c:cat>
            <c:numRef>
              <c:f>Лист1!$A$2</c:f>
              <c:numCache>
                <c:formatCode>General</c:formatCode>
                <c:ptCount val="1"/>
              </c:numCache>
            </c:numRef>
          </c:cat>
          <c:val>
            <c:numRef>
              <c:f>Лист1!$E$2</c:f>
              <c:numCache>
                <c:formatCode>General</c:formatCode>
                <c:ptCount val="1"/>
                <c:pt idx="0">
                  <c:v>112.1</c:v>
                </c:pt>
              </c:numCache>
            </c:numRef>
          </c:val>
        </c:ser>
        <c:ser>
          <c:idx val="4"/>
          <c:order val="4"/>
          <c:tx>
            <c:strRef>
              <c:f>Лист1!$F$1</c:f>
              <c:strCache>
                <c:ptCount val="1"/>
                <c:pt idx="0">
                  <c:v>Непродовольственные товары (5)</c:v>
                </c:pt>
              </c:strCache>
            </c:strRef>
          </c:tx>
          <c:dLbls>
            <c:txPr>
              <a:bodyPr/>
              <a:lstStyle/>
              <a:p>
                <a:pPr>
                  <a:defRPr b="1">
                    <a:latin typeface="Times New Roman" pitchFamily="18" charset="0"/>
                    <a:cs typeface="Times New Roman" pitchFamily="18" charset="0"/>
                  </a:defRPr>
                </a:pPr>
                <a:endParaRPr lang="ru-RU"/>
              </a:p>
            </c:txPr>
            <c:showVal val="1"/>
          </c:dLbls>
          <c:cat>
            <c:numRef>
              <c:f>Лист1!$A$2</c:f>
              <c:numCache>
                <c:formatCode>General</c:formatCode>
                <c:ptCount val="1"/>
              </c:numCache>
            </c:numRef>
          </c:cat>
          <c:val>
            <c:numRef>
              <c:f>Лист1!$F$2</c:f>
              <c:numCache>
                <c:formatCode>General</c:formatCode>
                <c:ptCount val="1"/>
                <c:pt idx="0">
                  <c:v>105.55</c:v>
                </c:pt>
              </c:numCache>
            </c:numRef>
          </c:val>
        </c:ser>
        <c:ser>
          <c:idx val="5"/>
          <c:order val="5"/>
          <c:tx>
            <c:strRef>
              <c:f>Лист1!$G$1</c:f>
              <c:strCache>
                <c:ptCount val="1"/>
                <c:pt idx="0">
                  <c:v>Платные услуги (6)</c:v>
                </c:pt>
              </c:strCache>
            </c:strRef>
          </c:tx>
          <c:dLbls>
            <c:txPr>
              <a:bodyPr/>
              <a:lstStyle/>
              <a:p>
                <a:pPr>
                  <a:defRPr b="1">
                    <a:latin typeface="Times New Roman" pitchFamily="18" charset="0"/>
                    <a:cs typeface="Times New Roman" pitchFamily="18" charset="0"/>
                  </a:defRPr>
                </a:pPr>
                <a:endParaRPr lang="ru-RU"/>
              </a:p>
            </c:txPr>
            <c:showVal val="1"/>
          </c:dLbls>
          <c:cat>
            <c:numRef>
              <c:f>Лист1!$A$2</c:f>
              <c:numCache>
                <c:formatCode>General</c:formatCode>
                <c:ptCount val="1"/>
              </c:numCache>
            </c:numRef>
          </c:cat>
          <c:val>
            <c:numRef>
              <c:f>Лист1!$G$2</c:f>
              <c:numCache>
                <c:formatCode>General</c:formatCode>
                <c:ptCount val="1"/>
                <c:pt idx="0">
                  <c:v>106.82</c:v>
                </c:pt>
              </c:numCache>
            </c:numRef>
          </c:val>
        </c:ser>
        <c:shape val="box"/>
        <c:axId val="190772352"/>
        <c:axId val="190773888"/>
        <c:axId val="187857984"/>
      </c:bar3DChart>
      <c:catAx>
        <c:axId val="190772352"/>
        <c:scaling>
          <c:orientation val="minMax"/>
        </c:scaling>
        <c:axPos val="b"/>
        <c:numFmt formatCode="General" sourceLinked="1"/>
        <c:tickLblPos val="nextTo"/>
        <c:txPr>
          <a:bodyPr/>
          <a:lstStyle/>
          <a:p>
            <a:pPr>
              <a:defRPr sz="1200" b="1">
                <a:latin typeface="Times New Roman" pitchFamily="18" charset="0"/>
                <a:cs typeface="Times New Roman" pitchFamily="18" charset="0"/>
              </a:defRPr>
            </a:pPr>
            <a:endParaRPr lang="ru-RU"/>
          </a:p>
        </c:txPr>
        <c:crossAx val="190773888"/>
        <c:crosses val="autoZero"/>
        <c:auto val="1"/>
        <c:lblAlgn val="ctr"/>
        <c:lblOffset val="100"/>
      </c:catAx>
      <c:valAx>
        <c:axId val="190773888"/>
        <c:scaling>
          <c:orientation val="minMax"/>
        </c:scaling>
        <c:axPos val="l"/>
        <c:majorGridlines/>
        <c:numFmt formatCode="General" sourceLinked="1"/>
        <c:tickLblPos val="nextTo"/>
        <c:txPr>
          <a:bodyPr/>
          <a:lstStyle/>
          <a:p>
            <a:pPr>
              <a:defRPr>
                <a:latin typeface="Times New Roman" pitchFamily="18" charset="0"/>
                <a:cs typeface="Times New Roman" pitchFamily="18" charset="0"/>
              </a:defRPr>
            </a:pPr>
            <a:endParaRPr lang="ru-RU"/>
          </a:p>
        </c:txPr>
        <c:crossAx val="190772352"/>
        <c:crosses val="autoZero"/>
        <c:crossBetween val="between"/>
        <c:majorUnit val="2"/>
      </c:valAx>
      <c:serAx>
        <c:axId val="187857984"/>
        <c:scaling>
          <c:orientation val="minMax"/>
        </c:scaling>
        <c:delete val="1"/>
        <c:axPos val="b"/>
        <c:tickLblPos val="none"/>
        <c:crossAx val="190773888"/>
        <c:crosses val="autoZero"/>
      </c:serAx>
    </c:plotArea>
    <c:legend>
      <c:legendPos val="b"/>
      <c:layout>
        <c:manualLayout>
          <c:xMode val="edge"/>
          <c:yMode val="edge"/>
          <c:x val="1.7306065908428113E-2"/>
          <c:y val="0.62334148765385011"/>
          <c:w val="0.98159138961796089"/>
          <c:h val="0.32738985296740869"/>
        </c:manualLayout>
      </c:layout>
      <c:txPr>
        <a:bodyPr/>
        <a:lstStyle/>
        <a:p>
          <a:pPr algn="just">
            <a:defRPr>
              <a:latin typeface="Times New Roman" pitchFamily="18" charset="0"/>
              <a:cs typeface="Times New Roman" pitchFamily="18" charset="0"/>
            </a:defRPr>
          </a:pPr>
          <a:endParaRPr lang="ru-RU"/>
        </a:p>
      </c:txPr>
    </c:legend>
    <c:plotVisOnly val="1"/>
    <c:dispBlanksAs val="gap"/>
  </c:chart>
  <c:spPr>
    <a:ln>
      <a:noFill/>
    </a:ln>
  </c:spPr>
  <c:externalData r:id="rId2"/>
  <c:userShapes r:id="rId3"/>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style val="26"/>
  <c:clrMapOvr bg1="lt1" tx1="dk1" bg2="lt2" tx2="dk2" accent1="accent1" accent2="accent2" accent3="accent3" accent4="accent4" accent5="accent5" accent6="accent6" hlink="hlink" folHlink="folHlink"/>
  <c:chart>
    <c:autoTitleDeleted val="1"/>
    <c:view3D>
      <c:rotX val="30"/>
      <c:perspective val="30"/>
    </c:view3D>
    <c:plotArea>
      <c:layout>
        <c:manualLayout>
          <c:layoutTarget val="inner"/>
          <c:xMode val="edge"/>
          <c:yMode val="edge"/>
          <c:x val="8.9840347279942764E-2"/>
          <c:y val="0.1250660034745035"/>
          <c:w val="0.83026127214509982"/>
          <c:h val="0.75555582427199164"/>
        </c:manualLayout>
      </c:layout>
      <c:pie3DChart>
        <c:varyColors val="1"/>
        <c:ser>
          <c:idx val="0"/>
          <c:order val="0"/>
          <c:tx>
            <c:strRef>
              <c:f>Лист1!$B$1</c:f>
              <c:strCache>
                <c:ptCount val="1"/>
                <c:pt idx="0">
                  <c:v>Млн. рублей</c:v>
                </c:pt>
              </c:strCache>
            </c:strRef>
          </c:tx>
          <c:spPr>
            <a:ln>
              <a:noFill/>
            </a:ln>
          </c:spPr>
          <c:explosion val="25"/>
          <c:dLbls>
            <c:dLbl>
              <c:idx val="0"/>
              <c:layout>
                <c:manualLayout>
                  <c:x val="-3.3760008498094581E-2"/>
                  <c:y val="-0.18824993111280341"/>
                </c:manualLayout>
              </c:layout>
              <c:showVal val="1"/>
              <c:showCatName val="1"/>
            </c:dLbl>
            <c:txPr>
              <a:bodyPr/>
              <a:lstStyle/>
              <a:p>
                <a:pPr>
                  <a:defRPr sz="1100"/>
                </a:pPr>
                <a:endParaRPr lang="ru-RU"/>
              </a:p>
            </c:txPr>
            <c:showVal val="1"/>
            <c:showCatName val="1"/>
            <c:showLeaderLines val="1"/>
          </c:dLbls>
          <c:cat>
            <c:strRef>
              <c:f>Лист1!$A$2:$A$4</c:f>
              <c:strCache>
                <c:ptCount val="3"/>
                <c:pt idx="0">
                  <c:v>Пищевые продукты, включая напитки, и табачные изделия </c:v>
                </c:pt>
                <c:pt idx="1">
                  <c:v> Алкогольные напитки и пиво</c:v>
                </c:pt>
                <c:pt idx="2">
                  <c:v>Непроловольственные товары </c:v>
                </c:pt>
              </c:strCache>
            </c:strRef>
          </c:cat>
          <c:val>
            <c:numRef>
              <c:f>Лист1!$B$2:$B$4</c:f>
              <c:numCache>
                <c:formatCode>General</c:formatCode>
                <c:ptCount val="3"/>
                <c:pt idx="0">
                  <c:v>17153</c:v>
                </c:pt>
                <c:pt idx="1">
                  <c:v>3380.8</c:v>
                </c:pt>
                <c:pt idx="2">
                  <c:v>13201.2</c:v>
                </c:pt>
              </c:numCache>
            </c:numRef>
          </c:val>
        </c:ser>
      </c:pie3DChart>
    </c:plotArea>
    <c:plotVisOnly val="1"/>
    <c:dispBlanksAs val="zero"/>
  </c:chart>
  <c:spPr>
    <a:ln>
      <a:noFill/>
    </a:ln>
  </c:spPr>
  <c:txPr>
    <a:bodyPr/>
    <a:lstStyle/>
    <a:p>
      <a:pPr>
        <a:defRPr>
          <a:latin typeface="Times New Roman" pitchFamily="18" charset="0"/>
          <a:cs typeface="Times New Roman" pitchFamily="18" charset="0"/>
        </a:defRPr>
      </a:pPr>
      <a:endParaRPr lang="ru-RU"/>
    </a:p>
  </c:txPr>
  <c:externalData r:id="rId2"/>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9.7513487897346152E-2"/>
          <c:y val="4.4057617797775513E-2"/>
          <c:w val="0.83307487605716379"/>
          <c:h val="0.68556711661042369"/>
        </c:manualLayout>
      </c:layout>
      <c:barChart>
        <c:barDir val="col"/>
        <c:grouping val="clustered"/>
        <c:ser>
          <c:idx val="0"/>
          <c:order val="0"/>
          <c:tx>
            <c:strRef>
              <c:f>Лист1!$B$1</c:f>
              <c:strCache>
                <c:ptCount val="1"/>
                <c:pt idx="0">
                  <c:v>Объём в млн. рублей</c:v>
                </c:pt>
              </c:strCache>
            </c:strRef>
          </c:tx>
          <c:spPr>
            <a:solidFill>
              <a:schemeClr val="tx2">
                <a:lumMod val="60000"/>
                <a:lumOff val="40000"/>
              </a:schemeClr>
            </a:solidFill>
          </c:spPr>
          <c:dLbls>
            <c:numFmt formatCode="General" sourceLinked="0"/>
            <c:txPr>
              <a:bodyPr/>
              <a:lstStyle/>
              <a:p>
                <a:pPr>
                  <a:defRPr b="1"/>
                </a:pPr>
                <a:endParaRPr lang="ru-RU"/>
              </a:p>
            </c:txPr>
            <c:dLblPos val="inBase"/>
            <c:showVal val="1"/>
          </c:dLbls>
          <c:cat>
            <c:strRef>
              <c:f>Лист1!$A$2:$A$6</c:f>
              <c:strCache>
                <c:ptCount val="5"/>
                <c:pt idx="0">
                  <c:v>2010</c:v>
                </c:pt>
                <c:pt idx="1">
                  <c:v>2011</c:v>
                </c:pt>
                <c:pt idx="2">
                  <c:v>2012</c:v>
                </c:pt>
                <c:pt idx="3">
                  <c:v>2013</c:v>
                </c:pt>
                <c:pt idx="4">
                  <c:v>2014 оценка</c:v>
                </c:pt>
              </c:strCache>
            </c:strRef>
          </c:cat>
          <c:val>
            <c:numRef>
              <c:f>Лист1!$B$2:$B$6</c:f>
              <c:numCache>
                <c:formatCode>General</c:formatCode>
                <c:ptCount val="5"/>
                <c:pt idx="0">
                  <c:v>12338.9</c:v>
                </c:pt>
                <c:pt idx="1">
                  <c:v>14809.7</c:v>
                </c:pt>
                <c:pt idx="2">
                  <c:v>16293.4</c:v>
                </c:pt>
                <c:pt idx="3">
                  <c:v>19804.2</c:v>
                </c:pt>
                <c:pt idx="4">
                  <c:v>21770.34</c:v>
                </c:pt>
              </c:numCache>
            </c:numRef>
          </c:val>
        </c:ser>
        <c:axId val="190487168"/>
        <c:axId val="192315776"/>
      </c:barChart>
      <c:lineChart>
        <c:grouping val="standard"/>
        <c:ser>
          <c:idx val="1"/>
          <c:order val="1"/>
          <c:tx>
            <c:strRef>
              <c:f>Лист1!$C$1</c:f>
              <c:strCache>
                <c:ptCount val="1"/>
                <c:pt idx="0">
                  <c:v>Индекс физического объёма, в поцентах  к предущему году </c:v>
                </c:pt>
              </c:strCache>
            </c:strRef>
          </c:tx>
          <c:dLbls>
            <c:numFmt formatCode="#,##0.0" sourceLinked="0"/>
            <c:txPr>
              <a:bodyPr/>
              <a:lstStyle/>
              <a:p>
                <a:pPr>
                  <a:defRPr b="1"/>
                </a:pPr>
                <a:endParaRPr lang="ru-RU"/>
              </a:p>
            </c:txPr>
            <c:showVal val="1"/>
          </c:dLbls>
          <c:cat>
            <c:strRef>
              <c:f>Лист1!$A$2:$A$6</c:f>
              <c:strCache>
                <c:ptCount val="5"/>
                <c:pt idx="0">
                  <c:v>2010</c:v>
                </c:pt>
                <c:pt idx="1">
                  <c:v>2011</c:v>
                </c:pt>
                <c:pt idx="2">
                  <c:v>2012</c:v>
                </c:pt>
                <c:pt idx="3">
                  <c:v>2013</c:v>
                </c:pt>
                <c:pt idx="4">
                  <c:v>2014 оценка</c:v>
                </c:pt>
              </c:strCache>
            </c:strRef>
          </c:cat>
          <c:val>
            <c:numRef>
              <c:f>Лист1!$C$2:$C$6</c:f>
              <c:numCache>
                <c:formatCode>General</c:formatCode>
                <c:ptCount val="5"/>
                <c:pt idx="0">
                  <c:v>102.4</c:v>
                </c:pt>
                <c:pt idx="1">
                  <c:v>108.5</c:v>
                </c:pt>
                <c:pt idx="2">
                  <c:v>103.6</c:v>
                </c:pt>
                <c:pt idx="3">
                  <c:v>105.4</c:v>
                </c:pt>
                <c:pt idx="4">
                  <c:v>104</c:v>
                </c:pt>
              </c:numCache>
            </c:numRef>
          </c:val>
        </c:ser>
        <c:marker val="1"/>
        <c:axId val="192318848"/>
        <c:axId val="192317312"/>
      </c:lineChart>
      <c:catAx>
        <c:axId val="190487168"/>
        <c:scaling>
          <c:orientation val="minMax"/>
        </c:scaling>
        <c:axPos val="b"/>
        <c:numFmt formatCode="General" sourceLinked="1"/>
        <c:tickLblPos val="nextTo"/>
        <c:crossAx val="192315776"/>
        <c:crosses val="autoZero"/>
        <c:auto val="1"/>
        <c:lblAlgn val="ctr"/>
        <c:lblOffset val="100"/>
      </c:catAx>
      <c:valAx>
        <c:axId val="192315776"/>
        <c:scaling>
          <c:orientation val="minMax"/>
        </c:scaling>
        <c:axPos val="l"/>
        <c:majorGridlines/>
        <c:numFmt formatCode="General" sourceLinked="1"/>
        <c:tickLblPos val="nextTo"/>
        <c:crossAx val="190487168"/>
        <c:crosses val="autoZero"/>
        <c:crossBetween val="between"/>
      </c:valAx>
      <c:valAx>
        <c:axId val="192317312"/>
        <c:scaling>
          <c:orientation val="minMax"/>
        </c:scaling>
        <c:axPos val="r"/>
        <c:numFmt formatCode="General" sourceLinked="1"/>
        <c:tickLblPos val="nextTo"/>
        <c:crossAx val="192318848"/>
        <c:crosses val="max"/>
        <c:crossBetween val="between"/>
      </c:valAx>
      <c:catAx>
        <c:axId val="192318848"/>
        <c:scaling>
          <c:orientation val="minMax"/>
        </c:scaling>
        <c:delete val="1"/>
        <c:axPos val="b"/>
        <c:numFmt formatCode="General" sourceLinked="1"/>
        <c:tickLblPos val="none"/>
        <c:crossAx val="192317312"/>
        <c:crosses val="autoZero"/>
        <c:auto val="1"/>
        <c:lblAlgn val="ctr"/>
        <c:lblOffset val="100"/>
      </c:catAx>
    </c:plotArea>
    <c:legend>
      <c:legendPos val="b"/>
      <c:layout>
        <c:manualLayout>
          <c:xMode val="edge"/>
          <c:yMode val="edge"/>
          <c:x val="5.2314814814815438E-2"/>
          <c:y val="0.81697299823823388"/>
          <c:w val="0.9"/>
          <c:h val="8.2570380757200065E-2"/>
        </c:manualLayout>
      </c:layout>
    </c:legend>
    <c:plotVisOnly val="1"/>
    <c:dispBlanksAs val="zero"/>
  </c:chart>
  <c:spPr>
    <a:ln>
      <a:noFill/>
    </a:ln>
  </c:spPr>
  <c:txPr>
    <a:bodyPr/>
    <a:lstStyle/>
    <a:p>
      <a:pPr>
        <a:defRPr>
          <a:latin typeface="Times New Roman" pitchFamily="18" charset="0"/>
          <a:cs typeface="Times New Roman" pitchFamily="18" charset="0"/>
        </a:defRPr>
      </a:pPr>
      <a:endParaRPr lang="ru-RU"/>
    </a:p>
  </c:txPr>
  <c:externalData r:id="rId2"/>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X val="30"/>
      <c:perspective val="0"/>
    </c:view3D>
    <c:plotArea>
      <c:layout/>
      <c:pie3DChart>
        <c:varyColors val="1"/>
        <c:ser>
          <c:idx val="0"/>
          <c:order val="0"/>
          <c:tx>
            <c:strRef>
              <c:f>Лист1!$B$1</c:f>
              <c:strCache>
                <c:ptCount val="1"/>
                <c:pt idx="0">
                  <c:v>виды услуг</c:v>
                </c:pt>
              </c:strCache>
            </c:strRef>
          </c:tx>
          <c:explosion val="25"/>
          <c:dPt>
            <c:idx val="1"/>
            <c:explosion val="21"/>
          </c:dPt>
          <c:dPt>
            <c:idx val="2"/>
            <c:explosion val="28"/>
          </c:dPt>
          <c:dLbls>
            <c:dLbl>
              <c:idx val="0"/>
              <c:layout>
                <c:manualLayout>
                  <c:x val="1.9545603674540721E-3"/>
                  <c:y val="-4.3328333958255423E-2"/>
                </c:manualLayout>
              </c:layout>
              <c:showVal val="1"/>
              <c:showCatName val="1"/>
            </c:dLbl>
            <c:dLbl>
              <c:idx val="3"/>
              <c:layout>
                <c:manualLayout>
                  <c:x val="0.173334609215514"/>
                  <c:y val="2.2955435068886402E-3"/>
                </c:manualLayout>
              </c:layout>
              <c:showVal val="1"/>
              <c:showCatName val="1"/>
            </c:dLbl>
            <c:dLbl>
              <c:idx val="5"/>
              <c:layout>
                <c:manualLayout>
                  <c:x val="-3.0310768445611001E-2"/>
                  <c:y val="-2.4233632767735186E-2"/>
                </c:manualLayout>
              </c:layout>
              <c:showVal val="1"/>
              <c:showCatName val="1"/>
            </c:dLbl>
            <c:dLbl>
              <c:idx val="6"/>
              <c:layout>
                <c:manualLayout>
                  <c:x val="7.893245115193985E-2"/>
                  <c:y val="-3.6566485527337253E-2"/>
                </c:manualLayout>
              </c:layout>
              <c:showVal val="1"/>
              <c:showCatName val="1"/>
            </c:dLbl>
            <c:showVal val="1"/>
            <c:showCatName val="1"/>
            <c:showLeaderLines val="1"/>
          </c:dLbls>
          <c:cat>
            <c:strRef>
              <c:f>Лист1!$A$2:$A$9</c:f>
              <c:strCache>
                <c:ptCount val="8"/>
                <c:pt idx="0">
                  <c:v>бытовые</c:v>
                </c:pt>
                <c:pt idx="1">
                  <c:v>транспортные </c:v>
                </c:pt>
                <c:pt idx="2">
                  <c:v>связи </c:v>
                </c:pt>
                <c:pt idx="3">
                  <c:v>жилищные </c:v>
                </c:pt>
                <c:pt idx="4">
                  <c:v>комунальные </c:v>
                </c:pt>
                <c:pt idx="5">
                  <c:v>туристические</c:v>
                </c:pt>
                <c:pt idx="6">
                  <c:v>системы образования</c:v>
                </c:pt>
                <c:pt idx="7">
                  <c:v>прочие</c:v>
                </c:pt>
              </c:strCache>
            </c:strRef>
          </c:cat>
          <c:val>
            <c:numRef>
              <c:f>Лист1!$B$2:$B$9</c:f>
              <c:numCache>
                <c:formatCode>0.0%</c:formatCode>
                <c:ptCount val="8"/>
                <c:pt idx="0">
                  <c:v>5.6000000000000001E-2</c:v>
                </c:pt>
                <c:pt idx="1">
                  <c:v>0.17700000000000021</c:v>
                </c:pt>
                <c:pt idx="2">
                  <c:v>0.21300000000000024</c:v>
                </c:pt>
                <c:pt idx="3">
                  <c:v>9.6000000000000002E-2</c:v>
                </c:pt>
                <c:pt idx="4">
                  <c:v>0.30900000000000138</c:v>
                </c:pt>
                <c:pt idx="5">
                  <c:v>2.3E-2</c:v>
                </c:pt>
                <c:pt idx="6">
                  <c:v>4.1000000000000002E-2</c:v>
                </c:pt>
                <c:pt idx="7">
                  <c:v>8.5000000000000006E-2</c:v>
                </c:pt>
              </c:numCache>
            </c:numRef>
          </c:val>
        </c:ser>
      </c:pie3DChart>
    </c:plotArea>
    <c:plotVisOnly val="1"/>
    <c:dispBlanksAs val="zero"/>
  </c:chart>
  <c:spPr>
    <a:ln>
      <a:noFill/>
    </a:ln>
  </c:spPr>
  <c:txPr>
    <a:bodyPr/>
    <a:lstStyle/>
    <a:p>
      <a:pPr>
        <a:defRPr b="1">
          <a:latin typeface="Times New Roman" pitchFamily="18" charset="0"/>
          <a:cs typeface="Times New Roman" pitchFamily="18" charset="0"/>
        </a:defRPr>
      </a:pPr>
      <a:endParaRPr lang="ru-RU"/>
    </a:p>
  </c:txPr>
  <c:externalData r:id="rId2"/>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ru-RU"/>
  <c:style val="10"/>
  <c:clrMapOvr bg1="lt1" tx1="dk1" bg2="lt2" tx2="dk2" accent1="accent1" accent2="accent2" accent3="accent3" accent4="accent4" accent5="accent5" accent6="accent6" hlink="hlink" folHlink="folHlink"/>
  <c:chart>
    <c:autoTitleDeleted val="1"/>
    <c:view3D>
      <c:rotX val="30"/>
      <c:perspective val="30"/>
    </c:view3D>
    <c:plotArea>
      <c:layout>
        <c:manualLayout>
          <c:layoutTarget val="inner"/>
          <c:xMode val="edge"/>
          <c:yMode val="edge"/>
          <c:x val="0.10206696349619862"/>
          <c:y val="0.24682028060940117"/>
          <c:w val="0.82379578323685965"/>
          <c:h val="0.64316321295532164"/>
        </c:manualLayout>
      </c:layout>
      <c:pie3DChart>
        <c:varyColors val="1"/>
        <c:ser>
          <c:idx val="0"/>
          <c:order val="0"/>
          <c:tx>
            <c:strRef>
              <c:f>Лист1!$B$1</c:f>
              <c:strCache>
                <c:ptCount val="1"/>
                <c:pt idx="0">
                  <c:v>Продажи</c:v>
                </c:pt>
              </c:strCache>
            </c:strRef>
          </c:tx>
          <c:explosion val="42"/>
          <c:dLbls>
            <c:numFmt formatCode="0.00%" sourceLinked="0"/>
            <c:txPr>
              <a:bodyPr/>
              <a:lstStyle/>
              <a:p>
                <a:pPr>
                  <a:defRPr>
                    <a:latin typeface="Times New Roman" pitchFamily="18" charset="0"/>
                    <a:cs typeface="Times New Roman" pitchFamily="18" charset="0"/>
                  </a:defRPr>
                </a:pPr>
                <a:endParaRPr lang="ru-RU"/>
              </a:p>
            </c:txPr>
            <c:showCatName val="1"/>
            <c:showPercent val="1"/>
            <c:showLeaderLines val="1"/>
          </c:dLbls>
          <c:cat>
            <c:strRef>
              <c:f>Лист1!$A$2:$A$8</c:f>
              <c:strCache>
                <c:ptCount val="7"/>
                <c:pt idx="0">
                  <c:v>Техническое обслуживание и ремонт т/с машин и оборудования</c:v>
                </c:pt>
                <c:pt idx="1">
                  <c:v>Изготовление и ремонт мебели</c:v>
                </c:pt>
                <c:pt idx="2">
                  <c:v>Ремонт и строительство жилья и других построек</c:v>
                </c:pt>
                <c:pt idx="3">
                  <c:v>Услуги парикмахерских</c:v>
                </c:pt>
                <c:pt idx="4">
                  <c:v>Ритуальные услуги</c:v>
                </c:pt>
                <c:pt idx="5">
                  <c:v>Прочие </c:v>
                </c:pt>
                <c:pt idx="6">
                  <c:v>Ремонт бытовой техники</c:v>
                </c:pt>
              </c:strCache>
            </c:strRef>
          </c:cat>
          <c:val>
            <c:numRef>
              <c:f>Лист1!$B$2:$B$8</c:f>
              <c:numCache>
                <c:formatCode>0.0</c:formatCode>
                <c:ptCount val="7"/>
                <c:pt idx="0">
                  <c:v>22.4</c:v>
                </c:pt>
                <c:pt idx="1">
                  <c:v>9.1</c:v>
                </c:pt>
                <c:pt idx="2">
                  <c:v>31.3</c:v>
                </c:pt>
                <c:pt idx="3">
                  <c:v>15.4</c:v>
                </c:pt>
                <c:pt idx="4">
                  <c:v>3.9</c:v>
                </c:pt>
                <c:pt idx="5">
                  <c:v>13.7</c:v>
                </c:pt>
                <c:pt idx="6">
                  <c:v>4.2</c:v>
                </c:pt>
              </c:numCache>
            </c:numRef>
          </c:val>
        </c:ser>
        <c:dLbls>
          <c:showCatName val="1"/>
          <c:showPercent val="1"/>
        </c:dLbls>
      </c:pie3DChart>
    </c:plotArea>
    <c:plotVisOnly val="1"/>
    <c:dispBlanksAs val="zero"/>
  </c:chart>
  <c:spPr>
    <a:ln>
      <a:noFill/>
    </a:ln>
  </c:spPr>
  <c:externalData r:id="rId2"/>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AngAx val="1"/>
    </c:view3D>
    <c:plotArea>
      <c:layout>
        <c:manualLayout>
          <c:layoutTarget val="inner"/>
          <c:xMode val="edge"/>
          <c:yMode val="edge"/>
          <c:x val="9.3002085956440259E-2"/>
          <c:y val="3.4922148675638649E-2"/>
          <c:w val="0.90699791404356556"/>
          <c:h val="0.64262881613483969"/>
        </c:manualLayout>
      </c:layout>
      <c:bar3DChart>
        <c:barDir val="col"/>
        <c:grouping val="clustered"/>
        <c:ser>
          <c:idx val="0"/>
          <c:order val="0"/>
          <c:tx>
            <c:strRef>
              <c:f>Лист2!$B$30</c:f>
              <c:strCache>
                <c:ptCount val="1"/>
                <c:pt idx="0">
                  <c:v>Коэффициент рождаемости</c:v>
                </c:pt>
              </c:strCache>
            </c:strRef>
          </c:tx>
          <c:spPr>
            <a:solidFill>
              <a:schemeClr val="accent2">
                <a:lumMod val="40000"/>
                <a:lumOff val="60000"/>
              </a:schemeClr>
            </a:solidFill>
          </c:spPr>
          <c:dLbls>
            <c:dLbl>
              <c:idx val="0"/>
              <c:layout>
                <c:manualLayout>
                  <c:x val="0"/>
                  <c:y val="-1.3888888888889049E-2"/>
                </c:manualLayout>
              </c:layout>
              <c:showVal val="1"/>
            </c:dLbl>
            <c:dLbl>
              <c:idx val="1"/>
              <c:layout>
                <c:manualLayout>
                  <c:x val="9.5465393794750796E-3"/>
                  <c:y val="-9.2592592592594079E-3"/>
                </c:manualLayout>
              </c:layout>
              <c:showVal val="1"/>
            </c:dLbl>
            <c:dLbl>
              <c:idx val="2"/>
              <c:layout>
                <c:manualLayout>
                  <c:x val="0"/>
                  <c:y val="-3.2407407407407808E-2"/>
                </c:manualLayout>
              </c:layout>
              <c:showVal val="1"/>
            </c:dLbl>
            <c:dLbl>
              <c:idx val="4"/>
              <c:layout>
                <c:manualLayout>
                  <c:x val="0"/>
                  <c:y val="-1.3888888888889049E-2"/>
                </c:manualLayout>
              </c:layout>
              <c:showVal val="1"/>
            </c:dLbl>
            <c:numFmt formatCode="#,##0.00" sourceLinked="0"/>
            <c:txPr>
              <a:bodyPr/>
              <a:lstStyle/>
              <a:p>
                <a:pPr>
                  <a:defRPr sz="900" b="1">
                    <a:solidFill>
                      <a:sysClr val="windowText" lastClr="000000"/>
                    </a:solidFill>
                    <a:latin typeface="Times New Roman" pitchFamily="18" charset="0"/>
                    <a:cs typeface="Times New Roman" pitchFamily="18" charset="0"/>
                  </a:defRPr>
                </a:pPr>
                <a:endParaRPr lang="ru-RU"/>
              </a:p>
            </c:txPr>
            <c:showVal val="1"/>
          </c:dLbls>
          <c:cat>
            <c:strRef>
              <c:f>Лист2!$C$28:$H$29</c:f>
              <c:strCache>
                <c:ptCount val="6"/>
                <c:pt idx="0">
                  <c:v>2009</c:v>
                </c:pt>
                <c:pt idx="1">
                  <c:v>2010</c:v>
                </c:pt>
                <c:pt idx="2">
                  <c:v>2011</c:v>
                </c:pt>
                <c:pt idx="3">
                  <c:v>2 012</c:v>
                </c:pt>
                <c:pt idx="4">
                  <c:v>2013 отчет</c:v>
                </c:pt>
                <c:pt idx="5">
                  <c:v>2014 оценка</c:v>
                </c:pt>
              </c:strCache>
            </c:strRef>
          </c:cat>
          <c:val>
            <c:numRef>
              <c:f>Лист2!$C$30:$H$30</c:f>
              <c:numCache>
                <c:formatCode>#,##0.0</c:formatCode>
                <c:ptCount val="6"/>
                <c:pt idx="0">
                  <c:v>13.3</c:v>
                </c:pt>
                <c:pt idx="1">
                  <c:v>12.8</c:v>
                </c:pt>
                <c:pt idx="2">
                  <c:v>11.9</c:v>
                </c:pt>
                <c:pt idx="3">
                  <c:v>13.2</c:v>
                </c:pt>
                <c:pt idx="4">
                  <c:v>13</c:v>
                </c:pt>
                <c:pt idx="5">
                  <c:v>13.78</c:v>
                </c:pt>
              </c:numCache>
            </c:numRef>
          </c:val>
        </c:ser>
        <c:ser>
          <c:idx val="1"/>
          <c:order val="1"/>
          <c:tx>
            <c:strRef>
              <c:f>Лист2!$B$31</c:f>
              <c:strCache>
                <c:ptCount val="1"/>
                <c:pt idx="0">
                  <c:v>Коэффициент смертности</c:v>
                </c:pt>
              </c:strCache>
            </c:strRef>
          </c:tx>
          <c:spPr>
            <a:solidFill>
              <a:schemeClr val="accent2">
                <a:lumMod val="50000"/>
              </a:schemeClr>
            </a:solidFill>
          </c:spPr>
          <c:dLbls>
            <c:dLbl>
              <c:idx val="0"/>
              <c:layout>
                <c:manualLayout>
                  <c:x val="9.546539379475057E-3"/>
                  <c:y val="9.2592592592594079E-3"/>
                </c:manualLayout>
              </c:layout>
              <c:showVal val="1"/>
            </c:dLbl>
            <c:dLbl>
              <c:idx val="1"/>
              <c:layout>
                <c:manualLayout>
                  <c:x val="2.2275258552108476E-2"/>
                  <c:y val="4.6296296296296823E-3"/>
                </c:manualLayout>
              </c:layout>
              <c:showVal val="1"/>
            </c:dLbl>
            <c:dLbl>
              <c:idx val="2"/>
              <c:layout>
                <c:manualLayout>
                  <c:x val="1.2728719172633254E-2"/>
                  <c:y val="1.3888888888889049E-2"/>
                </c:manualLayout>
              </c:layout>
              <c:showVal val="1"/>
            </c:dLbl>
            <c:dLbl>
              <c:idx val="3"/>
              <c:layout>
                <c:manualLayout>
                  <c:x val="1.2728719172633254E-2"/>
                  <c:y val="0"/>
                </c:manualLayout>
              </c:layout>
              <c:showVal val="1"/>
            </c:dLbl>
            <c:dLbl>
              <c:idx val="4"/>
              <c:layout>
                <c:manualLayout>
                  <c:x val="1.9093078758949885E-2"/>
                  <c:y val="0"/>
                </c:manualLayout>
              </c:layout>
              <c:showVal val="1"/>
            </c:dLbl>
            <c:dLbl>
              <c:idx val="5"/>
              <c:layout>
                <c:manualLayout>
                  <c:x val="2.8639618138425107E-2"/>
                  <c:y val="0"/>
                </c:manualLayout>
              </c:layout>
              <c:numFmt formatCode="#,##0.0" sourceLinked="0"/>
              <c:spPr/>
              <c:txPr>
                <a:bodyPr/>
                <a:lstStyle/>
                <a:p>
                  <a:pPr>
                    <a:defRPr sz="900" b="1">
                      <a:solidFill>
                        <a:schemeClr val="accent2">
                          <a:lumMod val="50000"/>
                        </a:schemeClr>
                      </a:solidFill>
                      <a:latin typeface="Times New Roman" pitchFamily="18" charset="0"/>
                      <a:cs typeface="Times New Roman" pitchFamily="18" charset="0"/>
                    </a:defRPr>
                  </a:pPr>
                  <a:endParaRPr lang="ru-RU"/>
                </a:p>
              </c:txPr>
              <c:showVal val="1"/>
            </c:dLbl>
            <c:numFmt formatCode="#,##0.00" sourceLinked="0"/>
            <c:txPr>
              <a:bodyPr/>
              <a:lstStyle/>
              <a:p>
                <a:pPr>
                  <a:defRPr sz="900" b="1">
                    <a:solidFill>
                      <a:schemeClr val="accent2">
                        <a:lumMod val="50000"/>
                      </a:schemeClr>
                    </a:solidFill>
                    <a:latin typeface="Times New Roman" pitchFamily="18" charset="0"/>
                    <a:cs typeface="Times New Roman" pitchFamily="18" charset="0"/>
                  </a:defRPr>
                </a:pPr>
                <a:endParaRPr lang="ru-RU"/>
              </a:p>
            </c:txPr>
            <c:showVal val="1"/>
          </c:dLbls>
          <c:cat>
            <c:strRef>
              <c:f>Лист2!$C$28:$H$29</c:f>
              <c:strCache>
                <c:ptCount val="6"/>
                <c:pt idx="0">
                  <c:v>2009</c:v>
                </c:pt>
                <c:pt idx="1">
                  <c:v>2010</c:v>
                </c:pt>
                <c:pt idx="2">
                  <c:v>2011</c:v>
                </c:pt>
                <c:pt idx="3">
                  <c:v>2 012</c:v>
                </c:pt>
                <c:pt idx="4">
                  <c:v>2013 отчет</c:v>
                </c:pt>
                <c:pt idx="5">
                  <c:v>2014 оценка</c:v>
                </c:pt>
              </c:strCache>
            </c:strRef>
          </c:cat>
          <c:val>
            <c:numRef>
              <c:f>Лист2!$C$31:$H$31</c:f>
              <c:numCache>
                <c:formatCode>#,##0.0</c:formatCode>
                <c:ptCount val="6"/>
                <c:pt idx="0">
                  <c:v>12</c:v>
                </c:pt>
                <c:pt idx="1">
                  <c:v>12.1</c:v>
                </c:pt>
                <c:pt idx="2">
                  <c:v>11.5</c:v>
                </c:pt>
                <c:pt idx="3">
                  <c:v>11</c:v>
                </c:pt>
                <c:pt idx="4">
                  <c:v>10.8</c:v>
                </c:pt>
                <c:pt idx="5">
                  <c:v>10.62</c:v>
                </c:pt>
              </c:numCache>
            </c:numRef>
          </c:val>
        </c:ser>
        <c:gapWidth val="75"/>
        <c:shape val="cylinder"/>
        <c:axId val="192254336"/>
        <c:axId val="192255872"/>
        <c:axId val="0"/>
      </c:bar3DChart>
      <c:catAx>
        <c:axId val="192254336"/>
        <c:scaling>
          <c:orientation val="minMax"/>
        </c:scaling>
        <c:axPos val="b"/>
        <c:majorTickMark val="none"/>
        <c:tickLblPos val="nextTo"/>
        <c:txPr>
          <a:bodyPr/>
          <a:lstStyle/>
          <a:p>
            <a:pPr>
              <a:defRPr b="1">
                <a:latin typeface="Times New Roman" pitchFamily="18" charset="0"/>
                <a:cs typeface="Times New Roman" pitchFamily="18" charset="0"/>
              </a:defRPr>
            </a:pPr>
            <a:endParaRPr lang="ru-RU"/>
          </a:p>
        </c:txPr>
        <c:crossAx val="192255872"/>
        <c:crosses val="autoZero"/>
        <c:auto val="1"/>
        <c:lblAlgn val="ctr"/>
        <c:lblOffset val="100"/>
      </c:catAx>
      <c:valAx>
        <c:axId val="192255872"/>
        <c:scaling>
          <c:orientation val="minMax"/>
        </c:scaling>
        <c:axPos val="l"/>
        <c:majorGridlines/>
        <c:numFmt formatCode="#,##0.0" sourceLinked="1"/>
        <c:majorTickMark val="none"/>
        <c:tickLblPos val="nextTo"/>
        <c:spPr>
          <a:ln w="9525">
            <a:noFill/>
          </a:ln>
        </c:spPr>
        <c:crossAx val="192254336"/>
        <c:crosses val="autoZero"/>
        <c:crossBetween val="between"/>
      </c:valAx>
    </c:plotArea>
    <c:legend>
      <c:legendPos val="b"/>
      <c:layout>
        <c:manualLayout>
          <c:xMode val="edge"/>
          <c:yMode val="edge"/>
          <c:x val="5.9546602020809504E-2"/>
          <c:y val="0.86961382815195909"/>
          <c:w val="0.89999987471733089"/>
          <c:h val="9.0115130031056895E-2"/>
        </c:manualLayout>
      </c:layout>
      <c:txPr>
        <a:bodyPr/>
        <a:lstStyle/>
        <a:p>
          <a:pPr>
            <a:defRPr>
              <a:latin typeface="Times New Roman" pitchFamily="18" charset="0"/>
              <a:cs typeface="Times New Roman" pitchFamily="18" charset="0"/>
            </a:defRPr>
          </a:pPr>
          <a:endParaRPr lang="ru-RU"/>
        </a:p>
      </c:txPr>
    </c:legend>
    <c:plotVisOnly val="1"/>
    <c:dispBlanksAs val="gap"/>
  </c:chart>
  <c:spPr>
    <a:ln>
      <a:noFill/>
    </a:ln>
  </c:sp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10418744531933508"/>
          <c:y val="7.7577735215530519E-2"/>
          <c:w val="0.86525699912510934"/>
          <c:h val="0.63320139036674472"/>
        </c:manualLayout>
      </c:layout>
      <c:barChart>
        <c:barDir val="col"/>
        <c:grouping val="stacked"/>
        <c:ser>
          <c:idx val="0"/>
          <c:order val="0"/>
          <c:tx>
            <c:strRef>
              <c:f>Лист1!$A$4</c:f>
              <c:strCache>
                <c:ptCount val="1"/>
                <c:pt idx="0">
                  <c:v>моложе трудоспособного</c:v>
                </c:pt>
              </c:strCache>
            </c:strRef>
          </c:tx>
          <c:spPr>
            <a:solidFill>
              <a:schemeClr val="tx2">
                <a:lumMod val="60000"/>
                <a:lumOff val="40000"/>
              </a:schemeClr>
            </a:solidFill>
          </c:spPr>
          <c:dLbls>
            <c:dLbl>
              <c:idx val="0"/>
              <c:layout>
                <c:manualLayout>
                  <c:x val="0"/>
                  <c:y val="0"/>
                </c:manualLayout>
              </c:layout>
              <c:dLblPos val="ctr"/>
              <c:showVal val="1"/>
            </c:dLbl>
            <c:dLbl>
              <c:idx val="1"/>
              <c:layout>
                <c:manualLayout>
                  <c:x val="-5.5210489993099106E-3"/>
                  <c:y val="6.0060060060060094E-3"/>
                </c:manualLayout>
              </c:layout>
              <c:dLblPos val="ctr"/>
              <c:showVal val="1"/>
            </c:dLbl>
            <c:txPr>
              <a:bodyPr/>
              <a:lstStyle/>
              <a:p>
                <a:pPr>
                  <a:defRPr b="1">
                    <a:solidFill>
                      <a:sysClr val="windowText" lastClr="000000"/>
                    </a:solidFill>
                    <a:latin typeface="Times New Roman" pitchFamily="18" charset="0"/>
                    <a:cs typeface="Times New Roman" pitchFamily="18" charset="0"/>
                  </a:defRPr>
                </a:pPr>
                <a:endParaRPr lang="ru-RU"/>
              </a:p>
            </c:txPr>
            <c:dLblPos val="ctr"/>
            <c:showVal val="1"/>
          </c:dLbls>
          <c:cat>
            <c:numRef>
              <c:f>Лист1!$B$3:$H$3</c:f>
              <c:numCache>
                <c:formatCode>General</c:formatCode>
                <c:ptCount val="7"/>
                <c:pt idx="0">
                  <c:v>2008</c:v>
                </c:pt>
                <c:pt idx="1">
                  <c:v>2009</c:v>
                </c:pt>
                <c:pt idx="2">
                  <c:v>2010</c:v>
                </c:pt>
                <c:pt idx="3">
                  <c:v>2011</c:v>
                </c:pt>
                <c:pt idx="4">
                  <c:v>2012</c:v>
                </c:pt>
                <c:pt idx="5">
                  <c:v>2013</c:v>
                </c:pt>
                <c:pt idx="6">
                  <c:v>2014</c:v>
                </c:pt>
              </c:numCache>
            </c:numRef>
          </c:cat>
          <c:val>
            <c:numRef>
              <c:f>Лист1!$B$4:$H$4</c:f>
              <c:numCache>
                <c:formatCode>0.0</c:formatCode>
                <c:ptCount val="7"/>
                <c:pt idx="0">
                  <c:v>16.3</c:v>
                </c:pt>
                <c:pt idx="1">
                  <c:v>16.3</c:v>
                </c:pt>
                <c:pt idx="2">
                  <c:v>16.5</c:v>
                </c:pt>
                <c:pt idx="3">
                  <c:v>17.899999999999999</c:v>
                </c:pt>
                <c:pt idx="4">
                  <c:v>16.2</c:v>
                </c:pt>
                <c:pt idx="5">
                  <c:v>16.3</c:v>
                </c:pt>
                <c:pt idx="6">
                  <c:v>16.577545960560666</c:v>
                </c:pt>
              </c:numCache>
            </c:numRef>
          </c:val>
        </c:ser>
        <c:ser>
          <c:idx val="1"/>
          <c:order val="1"/>
          <c:tx>
            <c:strRef>
              <c:f>Лист1!$A$5</c:f>
              <c:strCache>
                <c:ptCount val="1"/>
                <c:pt idx="0">
                  <c:v> трудоспособное </c:v>
                </c:pt>
              </c:strCache>
            </c:strRef>
          </c:tx>
          <c:spPr>
            <a:solidFill>
              <a:schemeClr val="accent2">
                <a:lumMod val="40000"/>
                <a:lumOff val="60000"/>
              </a:schemeClr>
            </a:solidFill>
          </c:spPr>
          <c:dLbls>
            <c:txPr>
              <a:bodyPr/>
              <a:lstStyle/>
              <a:p>
                <a:pPr>
                  <a:defRPr b="1">
                    <a:solidFill>
                      <a:sysClr val="windowText" lastClr="000000"/>
                    </a:solidFill>
                    <a:latin typeface="Times New Roman" pitchFamily="18" charset="0"/>
                    <a:cs typeface="Times New Roman" pitchFamily="18" charset="0"/>
                  </a:defRPr>
                </a:pPr>
                <a:endParaRPr lang="ru-RU"/>
              </a:p>
            </c:txPr>
            <c:dLblPos val="ctr"/>
            <c:showVal val="1"/>
          </c:dLbls>
          <c:cat>
            <c:numRef>
              <c:f>Лист1!$B$3:$H$3</c:f>
              <c:numCache>
                <c:formatCode>General</c:formatCode>
                <c:ptCount val="7"/>
                <c:pt idx="0">
                  <c:v>2008</c:v>
                </c:pt>
                <c:pt idx="1">
                  <c:v>2009</c:v>
                </c:pt>
                <c:pt idx="2">
                  <c:v>2010</c:v>
                </c:pt>
                <c:pt idx="3">
                  <c:v>2011</c:v>
                </c:pt>
                <c:pt idx="4">
                  <c:v>2012</c:v>
                </c:pt>
                <c:pt idx="5">
                  <c:v>2013</c:v>
                </c:pt>
                <c:pt idx="6">
                  <c:v>2014</c:v>
                </c:pt>
              </c:numCache>
            </c:numRef>
          </c:cat>
          <c:val>
            <c:numRef>
              <c:f>Лист1!$B$5:$H$5</c:f>
              <c:numCache>
                <c:formatCode>0.0</c:formatCode>
                <c:ptCount val="7"/>
                <c:pt idx="0">
                  <c:v>67.3</c:v>
                </c:pt>
                <c:pt idx="1">
                  <c:v>66.8</c:v>
                </c:pt>
                <c:pt idx="2">
                  <c:v>66</c:v>
                </c:pt>
                <c:pt idx="3">
                  <c:v>66</c:v>
                </c:pt>
                <c:pt idx="4">
                  <c:v>65.599999999999994</c:v>
                </c:pt>
                <c:pt idx="5">
                  <c:v>65.3</c:v>
                </c:pt>
                <c:pt idx="6">
                  <c:v>64.823683303139859</c:v>
                </c:pt>
              </c:numCache>
            </c:numRef>
          </c:val>
        </c:ser>
        <c:ser>
          <c:idx val="2"/>
          <c:order val="2"/>
          <c:tx>
            <c:strRef>
              <c:f>Лист1!$A$6</c:f>
              <c:strCache>
                <c:ptCount val="1"/>
                <c:pt idx="0">
                  <c:v> старше трудоспособного </c:v>
                </c:pt>
              </c:strCache>
            </c:strRef>
          </c:tx>
          <c:spPr>
            <a:solidFill>
              <a:schemeClr val="accent6">
                <a:lumMod val="75000"/>
              </a:schemeClr>
            </a:solidFill>
          </c:spPr>
          <c:dLbls>
            <c:dLbl>
              <c:idx val="0"/>
              <c:layout>
                <c:manualLayout>
                  <c:x val="0"/>
                  <c:y val="-4.6296296296296745E-3"/>
                </c:manualLayout>
              </c:layout>
              <c:dLblPos val="ctr"/>
              <c:showVal val="1"/>
            </c:dLbl>
            <c:dLbl>
              <c:idx val="1"/>
              <c:layout>
                <c:manualLayout>
                  <c:x val="0"/>
                  <c:y val="0"/>
                </c:manualLayout>
              </c:layout>
              <c:dLblPos val="ctr"/>
              <c:showVal val="1"/>
            </c:dLbl>
            <c:spPr>
              <a:noFill/>
            </c:spPr>
            <c:txPr>
              <a:bodyPr/>
              <a:lstStyle/>
              <a:p>
                <a:pPr>
                  <a:defRPr b="1">
                    <a:solidFill>
                      <a:sysClr val="windowText" lastClr="000000"/>
                    </a:solidFill>
                    <a:latin typeface="Times New Roman" pitchFamily="18" charset="0"/>
                    <a:cs typeface="Times New Roman" pitchFamily="18" charset="0"/>
                  </a:defRPr>
                </a:pPr>
                <a:endParaRPr lang="ru-RU"/>
              </a:p>
            </c:txPr>
            <c:dLblPos val="ctr"/>
            <c:showVal val="1"/>
          </c:dLbls>
          <c:cat>
            <c:numRef>
              <c:f>Лист1!$B$3:$H$3</c:f>
              <c:numCache>
                <c:formatCode>General</c:formatCode>
                <c:ptCount val="7"/>
                <c:pt idx="0">
                  <c:v>2008</c:v>
                </c:pt>
                <c:pt idx="1">
                  <c:v>2009</c:v>
                </c:pt>
                <c:pt idx="2">
                  <c:v>2010</c:v>
                </c:pt>
                <c:pt idx="3">
                  <c:v>2011</c:v>
                </c:pt>
                <c:pt idx="4">
                  <c:v>2012</c:v>
                </c:pt>
                <c:pt idx="5">
                  <c:v>2013</c:v>
                </c:pt>
                <c:pt idx="6">
                  <c:v>2014</c:v>
                </c:pt>
              </c:numCache>
            </c:numRef>
          </c:cat>
          <c:val>
            <c:numRef>
              <c:f>Лист1!$B$6:$H$6</c:f>
              <c:numCache>
                <c:formatCode>0.0</c:formatCode>
                <c:ptCount val="7"/>
                <c:pt idx="0">
                  <c:v>16.399999999999999</c:v>
                </c:pt>
                <c:pt idx="1">
                  <c:v>16.899999999999999</c:v>
                </c:pt>
                <c:pt idx="2">
                  <c:v>17.5</c:v>
                </c:pt>
                <c:pt idx="3">
                  <c:v>16.100000000000001</c:v>
                </c:pt>
                <c:pt idx="4">
                  <c:v>18.2</c:v>
                </c:pt>
                <c:pt idx="5">
                  <c:v>18.399999999999999</c:v>
                </c:pt>
                <c:pt idx="6">
                  <c:v>18.598770736299404</c:v>
                </c:pt>
              </c:numCache>
            </c:numRef>
          </c:val>
        </c:ser>
        <c:gapWidth val="75"/>
        <c:overlap val="100"/>
        <c:axId val="192356352"/>
        <c:axId val="192357888"/>
      </c:barChart>
      <c:catAx>
        <c:axId val="192356352"/>
        <c:scaling>
          <c:orientation val="minMax"/>
        </c:scaling>
        <c:axPos val="b"/>
        <c:numFmt formatCode="General" sourceLinked="1"/>
        <c:majorTickMark val="none"/>
        <c:tickLblPos val="nextTo"/>
        <c:txPr>
          <a:bodyPr/>
          <a:lstStyle/>
          <a:p>
            <a:pPr>
              <a:defRPr>
                <a:latin typeface="Times New Roman" pitchFamily="18" charset="0"/>
                <a:cs typeface="Times New Roman" pitchFamily="18" charset="0"/>
              </a:defRPr>
            </a:pPr>
            <a:endParaRPr lang="ru-RU"/>
          </a:p>
        </c:txPr>
        <c:crossAx val="192357888"/>
        <c:crosses val="autoZero"/>
        <c:auto val="1"/>
        <c:lblAlgn val="ctr"/>
        <c:lblOffset val="100"/>
      </c:catAx>
      <c:valAx>
        <c:axId val="192357888"/>
        <c:scaling>
          <c:orientation val="minMax"/>
          <c:max val="100"/>
        </c:scaling>
        <c:axPos val="l"/>
        <c:majorGridlines/>
        <c:numFmt formatCode="0.0" sourceLinked="1"/>
        <c:majorTickMark val="none"/>
        <c:tickLblPos val="nextTo"/>
        <c:spPr>
          <a:ln w="9525">
            <a:noFill/>
          </a:ln>
        </c:spPr>
        <c:txPr>
          <a:bodyPr/>
          <a:lstStyle/>
          <a:p>
            <a:pPr>
              <a:defRPr>
                <a:latin typeface="Times New Roman" pitchFamily="18" charset="0"/>
                <a:cs typeface="Times New Roman" pitchFamily="18" charset="0"/>
              </a:defRPr>
            </a:pPr>
            <a:endParaRPr lang="ru-RU"/>
          </a:p>
        </c:txPr>
        <c:crossAx val="192356352"/>
        <c:crosses val="autoZero"/>
        <c:crossBetween val="between"/>
        <c:majorUnit val="20"/>
      </c:valAx>
    </c:plotArea>
    <c:legend>
      <c:legendPos val="b"/>
      <c:layout>
        <c:manualLayout>
          <c:xMode val="edge"/>
          <c:yMode val="edge"/>
          <c:x val="0"/>
          <c:y val="0.84838546223389588"/>
          <c:w val="1"/>
          <c:h val="0.12383675998833592"/>
        </c:manualLayout>
      </c:layout>
      <c:txPr>
        <a:bodyPr/>
        <a:lstStyle/>
        <a:p>
          <a:pPr>
            <a:defRPr b="1">
              <a:latin typeface="Times New Roman" pitchFamily="18" charset="0"/>
              <a:cs typeface="Times New Roman" pitchFamily="18" charset="0"/>
            </a:defRPr>
          </a:pPr>
          <a:endParaRPr lang="ru-RU"/>
        </a:p>
      </c:txPr>
    </c:legend>
    <c:plotVisOnly val="1"/>
    <c:dispBlanksAs val="gap"/>
  </c:chart>
  <c:spPr>
    <a:ln>
      <a:noFill/>
    </a:ln>
  </c:sp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9.6210487813317119E-2"/>
          <c:y val="0.12547462817147856"/>
          <c:w val="0.87616867100651963"/>
          <c:h val="0.59054607757363653"/>
        </c:manualLayout>
      </c:layout>
      <c:lineChart>
        <c:grouping val="standard"/>
        <c:ser>
          <c:idx val="0"/>
          <c:order val="0"/>
          <c:tx>
            <c:strRef>
              <c:f>Лист2!$A$6</c:f>
              <c:strCache>
                <c:ptCount val="1"/>
                <c:pt idx="0">
                  <c:v>Число родившихся, человек</c:v>
                </c:pt>
              </c:strCache>
            </c:strRef>
          </c:tx>
          <c:spPr>
            <a:ln w="38100">
              <a:solidFill>
                <a:srgbClr val="FF0000"/>
              </a:solidFill>
            </a:ln>
          </c:spPr>
          <c:marker>
            <c:spPr>
              <a:solidFill>
                <a:srgbClr val="FF0000"/>
              </a:solidFill>
              <a:ln w="38100">
                <a:solidFill>
                  <a:srgbClr val="FF0000"/>
                </a:solidFill>
              </a:ln>
            </c:spPr>
          </c:marker>
          <c:dLbls>
            <c:txPr>
              <a:bodyPr/>
              <a:lstStyle/>
              <a:p>
                <a:pPr>
                  <a:defRPr sz="900" b="1">
                    <a:latin typeface="Times New Roman" pitchFamily="18" charset="0"/>
                    <a:cs typeface="Times New Roman" pitchFamily="18" charset="0"/>
                  </a:defRPr>
                </a:pPr>
                <a:endParaRPr lang="ru-RU"/>
              </a:p>
            </c:txPr>
            <c:dLblPos val="t"/>
            <c:showVal val="1"/>
          </c:dLbls>
          <c:cat>
            <c:strRef>
              <c:f>Лист2!$B$4:$J$5</c:f>
              <c:strCache>
                <c:ptCount val="9"/>
                <c:pt idx="0">
                  <c:v>2009</c:v>
                </c:pt>
                <c:pt idx="1">
                  <c:v>2010</c:v>
                </c:pt>
                <c:pt idx="2">
                  <c:v>2011</c:v>
                </c:pt>
                <c:pt idx="3">
                  <c:v>2 012</c:v>
                </c:pt>
                <c:pt idx="4">
                  <c:v>2013 отчет</c:v>
                </c:pt>
                <c:pt idx="5">
                  <c:v>2014 оценка</c:v>
                </c:pt>
                <c:pt idx="6">
                  <c:v>2015 прогноз</c:v>
                </c:pt>
                <c:pt idx="7">
                  <c:v>2016 прогноз</c:v>
                </c:pt>
                <c:pt idx="8">
                  <c:v>2017 прогноз</c:v>
                </c:pt>
              </c:strCache>
            </c:strRef>
          </c:cat>
          <c:val>
            <c:numRef>
              <c:f>Лист2!$B$6:$J$6</c:f>
              <c:numCache>
                <c:formatCode>#,##0</c:formatCode>
                <c:ptCount val="9"/>
                <c:pt idx="0">
                  <c:v>2352</c:v>
                </c:pt>
                <c:pt idx="1">
                  <c:v>2287</c:v>
                </c:pt>
                <c:pt idx="2">
                  <c:v>2142</c:v>
                </c:pt>
                <c:pt idx="3">
                  <c:v>2386</c:v>
                </c:pt>
                <c:pt idx="4">
                  <c:v>2365</c:v>
                </c:pt>
                <c:pt idx="5">
                  <c:v>2517</c:v>
                </c:pt>
                <c:pt idx="6">
                  <c:v>2534.5656157470307</c:v>
                </c:pt>
                <c:pt idx="7">
                  <c:v>2564.7129141682854</c:v>
                </c:pt>
                <c:pt idx="8">
                  <c:v>2553.4508615416898</c:v>
                </c:pt>
              </c:numCache>
            </c:numRef>
          </c:val>
        </c:ser>
        <c:ser>
          <c:idx val="1"/>
          <c:order val="1"/>
          <c:tx>
            <c:strRef>
              <c:f>Лист2!$A$7</c:f>
              <c:strCache>
                <c:ptCount val="1"/>
                <c:pt idx="0">
                  <c:v>Число умерших, человек</c:v>
                </c:pt>
              </c:strCache>
            </c:strRef>
          </c:tx>
          <c:spPr>
            <a:ln w="38100">
              <a:solidFill>
                <a:srgbClr val="7030A0"/>
              </a:solidFill>
            </a:ln>
          </c:spPr>
          <c:marker>
            <c:spPr>
              <a:solidFill>
                <a:srgbClr val="7030A0"/>
              </a:solidFill>
              <a:ln w="38100">
                <a:solidFill>
                  <a:srgbClr val="7030A0"/>
                </a:solidFill>
              </a:ln>
            </c:spPr>
          </c:marker>
          <c:dLbls>
            <c:txPr>
              <a:bodyPr/>
              <a:lstStyle/>
              <a:p>
                <a:pPr>
                  <a:defRPr sz="900" b="1">
                    <a:latin typeface="Times New Roman" pitchFamily="18" charset="0"/>
                    <a:cs typeface="Times New Roman" pitchFamily="18" charset="0"/>
                  </a:defRPr>
                </a:pPr>
                <a:endParaRPr lang="ru-RU"/>
              </a:p>
            </c:txPr>
            <c:dLblPos val="b"/>
            <c:showVal val="1"/>
          </c:dLbls>
          <c:cat>
            <c:strRef>
              <c:f>Лист2!$B$4:$J$5</c:f>
              <c:strCache>
                <c:ptCount val="9"/>
                <c:pt idx="0">
                  <c:v>2009</c:v>
                </c:pt>
                <c:pt idx="1">
                  <c:v>2010</c:v>
                </c:pt>
                <c:pt idx="2">
                  <c:v>2011</c:v>
                </c:pt>
                <c:pt idx="3">
                  <c:v>2 012</c:v>
                </c:pt>
                <c:pt idx="4">
                  <c:v>2013 отчет</c:v>
                </c:pt>
                <c:pt idx="5">
                  <c:v>2014 оценка</c:v>
                </c:pt>
                <c:pt idx="6">
                  <c:v>2015 прогноз</c:v>
                </c:pt>
                <c:pt idx="7">
                  <c:v>2016 прогноз</c:v>
                </c:pt>
                <c:pt idx="8">
                  <c:v>2017 прогноз</c:v>
                </c:pt>
              </c:strCache>
            </c:strRef>
          </c:cat>
          <c:val>
            <c:numRef>
              <c:f>Лист2!$B$7:$J$7</c:f>
              <c:numCache>
                <c:formatCode>#,##0</c:formatCode>
                <c:ptCount val="9"/>
                <c:pt idx="0">
                  <c:v>2129</c:v>
                </c:pt>
                <c:pt idx="1">
                  <c:v>2161</c:v>
                </c:pt>
                <c:pt idx="2">
                  <c:v>2066</c:v>
                </c:pt>
                <c:pt idx="3">
                  <c:v>1989</c:v>
                </c:pt>
                <c:pt idx="4">
                  <c:v>1966</c:v>
                </c:pt>
                <c:pt idx="5">
                  <c:v>1939</c:v>
                </c:pt>
                <c:pt idx="6">
                  <c:v>1937.603674300957</c:v>
                </c:pt>
                <c:pt idx="7">
                  <c:v>1936.5299259703929</c:v>
                </c:pt>
                <c:pt idx="8">
                  <c:v>1933.9286158559116</c:v>
                </c:pt>
              </c:numCache>
            </c:numRef>
          </c:val>
        </c:ser>
        <c:marker val="1"/>
        <c:axId val="192382848"/>
        <c:axId val="192384384"/>
      </c:lineChart>
      <c:catAx>
        <c:axId val="192382848"/>
        <c:scaling>
          <c:orientation val="minMax"/>
        </c:scaling>
        <c:axPos val="b"/>
        <c:majorTickMark val="none"/>
        <c:tickLblPos val="nextTo"/>
        <c:txPr>
          <a:bodyPr/>
          <a:lstStyle/>
          <a:p>
            <a:pPr>
              <a:defRPr b="1">
                <a:latin typeface="Times New Roman" pitchFamily="18" charset="0"/>
                <a:cs typeface="Times New Roman" pitchFamily="18" charset="0"/>
              </a:defRPr>
            </a:pPr>
            <a:endParaRPr lang="ru-RU"/>
          </a:p>
        </c:txPr>
        <c:crossAx val="192384384"/>
        <c:crosses val="autoZero"/>
        <c:auto val="1"/>
        <c:lblAlgn val="ctr"/>
        <c:lblOffset val="100"/>
      </c:catAx>
      <c:valAx>
        <c:axId val="192384384"/>
        <c:scaling>
          <c:orientation val="minMax"/>
          <c:min val="1700"/>
        </c:scaling>
        <c:axPos val="l"/>
        <c:majorGridlines/>
        <c:numFmt formatCode="#,##0" sourceLinked="1"/>
        <c:majorTickMark val="none"/>
        <c:tickLblPos val="nextTo"/>
        <c:spPr>
          <a:ln w="9525">
            <a:noFill/>
          </a:ln>
        </c:spPr>
        <c:txPr>
          <a:bodyPr/>
          <a:lstStyle/>
          <a:p>
            <a:pPr>
              <a:defRPr sz="900">
                <a:latin typeface="Times New Roman" pitchFamily="18" charset="0"/>
                <a:cs typeface="Times New Roman" pitchFamily="18" charset="0"/>
              </a:defRPr>
            </a:pPr>
            <a:endParaRPr lang="ru-RU"/>
          </a:p>
        </c:txPr>
        <c:crossAx val="192382848"/>
        <c:crosses val="autoZero"/>
        <c:crossBetween val="between"/>
        <c:majorUnit val="200"/>
      </c:valAx>
      <c:spPr>
        <a:ln>
          <a:solidFill>
            <a:schemeClr val="accent1"/>
          </a:solidFill>
        </a:ln>
      </c:spPr>
    </c:plotArea>
    <c:legend>
      <c:legendPos val="b"/>
      <c:layout>
        <c:manualLayout>
          <c:xMode val="edge"/>
          <c:yMode val="edge"/>
          <c:x val="0"/>
          <c:y val="0.897474808655911"/>
          <c:w val="0.96859510009480865"/>
          <c:h val="6.9891158710056342E-2"/>
        </c:manualLayout>
      </c:layout>
      <c:txPr>
        <a:bodyPr/>
        <a:lstStyle/>
        <a:p>
          <a:pPr>
            <a:defRPr sz="900" b="1">
              <a:latin typeface="Times New Roman" pitchFamily="18" charset="0"/>
              <a:cs typeface="Times New Roman" pitchFamily="18" charset="0"/>
            </a:defRPr>
          </a:pPr>
          <a:endParaRPr lang="ru-RU"/>
        </a:p>
      </c:txPr>
    </c:legend>
    <c:plotVisOnly val="1"/>
    <c:dispBlanksAs val="gap"/>
  </c:chart>
  <c:spPr>
    <a:ln>
      <a:noFill/>
    </a:ln>
  </c:sp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0"/>
      <c:rotY val="0"/>
      <c:perspective val="0"/>
    </c:view3D>
    <c:plotArea>
      <c:layout>
        <c:manualLayout>
          <c:layoutTarget val="inner"/>
          <c:xMode val="edge"/>
          <c:yMode val="edge"/>
          <c:x val="9.0298529044470527E-2"/>
          <c:y val="0.10694854319680618"/>
          <c:w val="0.87914588801400328"/>
          <c:h val="0.6594116360455019"/>
        </c:manualLayout>
      </c:layout>
      <c:bar3DChart>
        <c:barDir val="col"/>
        <c:grouping val="clustered"/>
        <c:ser>
          <c:idx val="0"/>
          <c:order val="0"/>
          <c:tx>
            <c:strRef>
              <c:f>Лист2!$B$51</c:f>
              <c:strCache>
                <c:ptCount val="1"/>
                <c:pt idx="0">
                  <c:v>Коэффициент рождаемости</c:v>
                </c:pt>
              </c:strCache>
            </c:strRef>
          </c:tx>
          <c:spPr>
            <a:solidFill>
              <a:schemeClr val="accent2">
                <a:lumMod val="40000"/>
                <a:lumOff val="60000"/>
              </a:schemeClr>
            </a:solidFill>
          </c:spPr>
          <c:dLbls>
            <c:txPr>
              <a:bodyPr/>
              <a:lstStyle/>
              <a:p>
                <a:pPr>
                  <a:defRPr sz="1000" b="1">
                    <a:latin typeface="Times New Roman" pitchFamily="18" charset="0"/>
                    <a:cs typeface="Times New Roman" pitchFamily="18" charset="0"/>
                  </a:defRPr>
                </a:pPr>
                <a:endParaRPr lang="ru-RU"/>
              </a:p>
            </c:txPr>
            <c:showVal val="1"/>
          </c:dLbls>
          <c:cat>
            <c:multiLvlStrRef>
              <c:f>Лист2!$C$49:$H$50</c:f>
              <c:multiLvlStrCache>
                <c:ptCount val="6"/>
                <c:lvl>
                  <c:pt idx="0">
                    <c:v>вар 1</c:v>
                  </c:pt>
                  <c:pt idx="1">
                    <c:v>вар 2</c:v>
                  </c:pt>
                  <c:pt idx="2">
                    <c:v>вар 1</c:v>
                  </c:pt>
                  <c:pt idx="3">
                    <c:v>вар 2</c:v>
                  </c:pt>
                  <c:pt idx="4">
                    <c:v>вар 1</c:v>
                  </c:pt>
                  <c:pt idx="5">
                    <c:v>вар 2</c:v>
                  </c:pt>
                </c:lvl>
                <c:lvl>
                  <c:pt idx="0">
                    <c:v>2015</c:v>
                  </c:pt>
                  <c:pt idx="2">
                    <c:v>2016</c:v>
                  </c:pt>
                  <c:pt idx="4">
                    <c:v>2017</c:v>
                  </c:pt>
                </c:lvl>
              </c:multiLvlStrCache>
            </c:multiLvlStrRef>
          </c:cat>
          <c:val>
            <c:numRef>
              <c:f>Лист2!$C$51:$H$51</c:f>
              <c:numCache>
                <c:formatCode>0.00</c:formatCode>
                <c:ptCount val="6"/>
                <c:pt idx="0">
                  <c:v>13.869420594895384</c:v>
                </c:pt>
                <c:pt idx="1">
                  <c:v>13.961774791111068</c:v>
                </c:pt>
                <c:pt idx="2">
                  <c:v>14.001090815659474</c:v>
                </c:pt>
                <c:pt idx="3">
                  <c:v>14.179910620851341</c:v>
                </c:pt>
                <c:pt idx="4">
                  <c:v>13.89366990072107</c:v>
                </c:pt>
                <c:pt idx="5">
                  <c:v>13.999053924634703</c:v>
                </c:pt>
              </c:numCache>
            </c:numRef>
          </c:val>
        </c:ser>
        <c:ser>
          <c:idx val="1"/>
          <c:order val="1"/>
          <c:tx>
            <c:strRef>
              <c:f>Лист2!$B$52</c:f>
              <c:strCache>
                <c:ptCount val="1"/>
                <c:pt idx="0">
                  <c:v> Коэффициент смертности</c:v>
                </c:pt>
              </c:strCache>
            </c:strRef>
          </c:tx>
          <c:dLbls>
            <c:dLbl>
              <c:idx val="3"/>
              <c:layout>
                <c:manualLayout>
                  <c:x val="1.6666666666666701E-2"/>
                  <c:y val="1.3888888888889006E-2"/>
                </c:manualLayout>
              </c:layout>
              <c:showVal val="1"/>
            </c:dLbl>
            <c:dLbl>
              <c:idx val="4"/>
              <c:layout>
                <c:manualLayout>
                  <c:x val="2.5000000000000001E-2"/>
                  <c:y val="9.2592592592593698E-3"/>
                </c:manualLayout>
              </c:layout>
              <c:showVal val="1"/>
            </c:dLbl>
            <c:txPr>
              <a:bodyPr/>
              <a:lstStyle/>
              <a:p>
                <a:pPr>
                  <a:defRPr b="1">
                    <a:latin typeface="Times New Roman" pitchFamily="18" charset="0"/>
                    <a:cs typeface="Times New Roman" pitchFamily="18" charset="0"/>
                  </a:defRPr>
                </a:pPr>
                <a:endParaRPr lang="ru-RU"/>
              </a:p>
            </c:txPr>
            <c:showVal val="1"/>
          </c:dLbls>
          <c:cat>
            <c:multiLvlStrRef>
              <c:f>Лист2!$C$49:$H$50</c:f>
              <c:multiLvlStrCache>
                <c:ptCount val="6"/>
                <c:lvl>
                  <c:pt idx="0">
                    <c:v>вар 1</c:v>
                  </c:pt>
                  <c:pt idx="1">
                    <c:v>вар 2</c:v>
                  </c:pt>
                  <c:pt idx="2">
                    <c:v>вар 1</c:v>
                  </c:pt>
                  <c:pt idx="3">
                    <c:v>вар 2</c:v>
                  </c:pt>
                  <c:pt idx="4">
                    <c:v>вар 1</c:v>
                  </c:pt>
                  <c:pt idx="5">
                    <c:v>вар 2</c:v>
                  </c:pt>
                </c:lvl>
                <c:lvl>
                  <c:pt idx="0">
                    <c:v>2015</c:v>
                  </c:pt>
                  <c:pt idx="2">
                    <c:v>2016</c:v>
                  </c:pt>
                  <c:pt idx="4">
                    <c:v>2017</c:v>
                  </c:pt>
                </c:lvl>
              </c:multiLvlStrCache>
            </c:multiLvlStrRef>
          </c:cat>
          <c:val>
            <c:numRef>
              <c:f>Лист2!$C$52:$H$52</c:f>
              <c:numCache>
                <c:formatCode>0.00</c:formatCode>
                <c:ptCount val="6"/>
                <c:pt idx="0">
                  <c:v>10.602779481474911</c:v>
                </c:pt>
                <c:pt idx="1">
                  <c:v>10.582922836583405</c:v>
                </c:pt>
                <c:pt idx="2">
                  <c:v>10.571760765491488</c:v>
                </c:pt>
                <c:pt idx="3">
                  <c:v>10.527774815583816</c:v>
                </c:pt>
                <c:pt idx="4">
                  <c:v>10.522765957609852</c:v>
                </c:pt>
                <c:pt idx="5">
                  <c:v>10.470653525813132</c:v>
                </c:pt>
              </c:numCache>
            </c:numRef>
          </c:val>
        </c:ser>
        <c:gapWidth val="75"/>
        <c:shape val="cylinder"/>
        <c:axId val="194056960"/>
        <c:axId val="194058496"/>
        <c:axId val="0"/>
      </c:bar3DChart>
      <c:catAx>
        <c:axId val="194056960"/>
        <c:scaling>
          <c:orientation val="minMax"/>
        </c:scaling>
        <c:axPos val="b"/>
        <c:majorTickMark val="none"/>
        <c:tickLblPos val="nextTo"/>
        <c:txPr>
          <a:bodyPr/>
          <a:lstStyle/>
          <a:p>
            <a:pPr>
              <a:defRPr b="1">
                <a:latin typeface="Times New Roman" pitchFamily="18" charset="0"/>
                <a:cs typeface="Times New Roman" pitchFamily="18" charset="0"/>
              </a:defRPr>
            </a:pPr>
            <a:endParaRPr lang="ru-RU"/>
          </a:p>
        </c:txPr>
        <c:crossAx val="194058496"/>
        <c:crosses val="autoZero"/>
        <c:auto val="1"/>
        <c:lblAlgn val="ctr"/>
        <c:lblOffset val="100"/>
      </c:catAx>
      <c:valAx>
        <c:axId val="194058496"/>
        <c:scaling>
          <c:orientation val="minMax"/>
          <c:max val="15"/>
        </c:scaling>
        <c:axPos val="l"/>
        <c:majorGridlines/>
        <c:numFmt formatCode="0.0" sourceLinked="0"/>
        <c:majorTickMark val="none"/>
        <c:tickLblPos val="nextTo"/>
        <c:spPr>
          <a:ln w="9525">
            <a:noFill/>
          </a:ln>
        </c:spPr>
        <c:txPr>
          <a:bodyPr/>
          <a:lstStyle/>
          <a:p>
            <a:pPr>
              <a:defRPr>
                <a:solidFill>
                  <a:schemeClr val="bg1"/>
                </a:solidFill>
                <a:latin typeface="Times New Roman" pitchFamily="18" charset="0"/>
                <a:cs typeface="Times New Roman" pitchFamily="18" charset="0"/>
              </a:defRPr>
            </a:pPr>
            <a:endParaRPr lang="ru-RU"/>
          </a:p>
        </c:txPr>
        <c:crossAx val="194056960"/>
        <c:crosses val="autoZero"/>
        <c:crossBetween val="between"/>
      </c:valAx>
    </c:plotArea>
    <c:legend>
      <c:legendPos val="b"/>
      <c:legendEntry>
        <c:idx val="0"/>
        <c:txPr>
          <a:bodyPr/>
          <a:lstStyle/>
          <a:p>
            <a:pPr>
              <a:defRPr sz="1100">
                <a:latin typeface="Times New Roman" pitchFamily="18" charset="0"/>
                <a:cs typeface="Times New Roman" pitchFamily="18" charset="0"/>
              </a:defRPr>
            </a:pPr>
            <a:endParaRPr lang="ru-RU"/>
          </a:p>
        </c:txPr>
      </c:legendEntry>
      <c:layout>
        <c:manualLayout>
          <c:xMode val="edge"/>
          <c:yMode val="edge"/>
          <c:x val="0.18713078227492044"/>
          <c:y val="0.89415117227993568"/>
          <c:w val="0.70760313558468335"/>
          <c:h val="0.10116588367630516"/>
        </c:manualLayout>
      </c:layout>
      <c:txPr>
        <a:bodyPr/>
        <a:lstStyle/>
        <a:p>
          <a:pPr>
            <a:defRPr>
              <a:latin typeface="Times New Roman" pitchFamily="18" charset="0"/>
              <a:cs typeface="Times New Roman" pitchFamily="18" charset="0"/>
            </a:defRPr>
          </a:pPr>
          <a:endParaRPr lang="ru-RU"/>
        </a:p>
      </c:txPr>
    </c:legend>
    <c:plotVisOnly val="1"/>
    <c:dispBlanksAs val="gap"/>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Лист2!$B$29</c:f>
              <c:strCache>
                <c:ptCount val="1"/>
                <c:pt idx="0">
                  <c:v>Добыча полезных ископаемых, млн рублей</c:v>
                </c:pt>
              </c:strCache>
            </c:strRef>
          </c:tx>
          <c:spPr>
            <a:ln w="19050">
              <a:solidFill>
                <a:schemeClr val="accent5">
                  <a:lumMod val="75000"/>
                </a:schemeClr>
              </a:solidFill>
            </a:ln>
          </c:spPr>
          <c:dPt>
            <c:idx val="0"/>
            <c:spPr>
              <a:solidFill>
                <a:schemeClr val="accent5">
                  <a:lumMod val="75000"/>
                </a:schemeClr>
              </a:solidFill>
              <a:ln w="19050">
                <a:solidFill>
                  <a:schemeClr val="accent5">
                    <a:lumMod val="75000"/>
                  </a:schemeClr>
                </a:solidFill>
              </a:ln>
            </c:spPr>
          </c:dPt>
          <c:dPt>
            <c:idx val="1"/>
            <c:spPr>
              <a:solidFill>
                <a:schemeClr val="accent5">
                  <a:lumMod val="75000"/>
                </a:schemeClr>
              </a:solidFill>
              <a:ln w="19050">
                <a:solidFill>
                  <a:schemeClr val="accent5">
                    <a:lumMod val="75000"/>
                  </a:schemeClr>
                </a:solidFill>
              </a:ln>
            </c:spPr>
          </c:dPt>
          <c:dPt>
            <c:idx val="2"/>
            <c:spPr>
              <a:solidFill>
                <a:schemeClr val="accent5">
                  <a:lumMod val="75000"/>
                </a:schemeClr>
              </a:solidFill>
              <a:ln w="19050">
                <a:solidFill>
                  <a:schemeClr val="accent5">
                    <a:lumMod val="75000"/>
                  </a:schemeClr>
                </a:solidFill>
              </a:ln>
            </c:spPr>
          </c:dPt>
          <c:dPt>
            <c:idx val="3"/>
            <c:spPr>
              <a:solidFill>
                <a:schemeClr val="accent5">
                  <a:lumMod val="75000"/>
                </a:schemeClr>
              </a:solidFill>
              <a:ln w="19050">
                <a:solidFill>
                  <a:schemeClr val="accent5">
                    <a:lumMod val="75000"/>
                  </a:schemeClr>
                </a:solidFill>
              </a:ln>
            </c:spPr>
          </c:dPt>
          <c:dPt>
            <c:idx val="4"/>
            <c:spPr>
              <a:solidFill>
                <a:schemeClr val="accent5">
                  <a:lumMod val="75000"/>
                </a:schemeClr>
              </a:solidFill>
              <a:ln w="19050">
                <a:solidFill>
                  <a:schemeClr val="accent5">
                    <a:lumMod val="75000"/>
                  </a:schemeClr>
                </a:solidFill>
              </a:ln>
            </c:spPr>
          </c:dPt>
          <c:dPt>
            <c:idx val="5"/>
            <c:spPr>
              <a:blipFill>
                <a:blip xmlns:r="http://schemas.openxmlformats.org/officeDocument/2006/relationships" r:embed="rId1"/>
                <a:tile tx="0" ty="0" sx="100000" sy="100000" flip="none" algn="tl"/>
              </a:blipFill>
              <a:ln w="19050">
                <a:solidFill>
                  <a:schemeClr val="accent5">
                    <a:lumMod val="75000"/>
                  </a:schemeClr>
                </a:solidFill>
              </a:ln>
            </c:spPr>
          </c:dPt>
          <c:dPt>
            <c:idx val="6"/>
            <c:spPr>
              <a:blipFill>
                <a:blip xmlns:r="http://schemas.openxmlformats.org/officeDocument/2006/relationships" r:embed="rId1"/>
                <a:tile tx="0" ty="0" sx="100000" sy="100000" flip="none" algn="tl"/>
              </a:blipFill>
              <a:ln w="19050">
                <a:solidFill>
                  <a:schemeClr val="accent5">
                    <a:lumMod val="75000"/>
                  </a:schemeClr>
                </a:solidFill>
              </a:ln>
            </c:spPr>
          </c:dPt>
          <c:dPt>
            <c:idx val="7"/>
            <c:spPr>
              <a:blipFill>
                <a:blip xmlns:r="http://schemas.openxmlformats.org/officeDocument/2006/relationships" r:embed="rId1"/>
                <a:tile tx="0" ty="0" sx="100000" sy="100000" flip="none" algn="tl"/>
              </a:blipFill>
              <a:ln w="19050">
                <a:solidFill>
                  <a:schemeClr val="accent5">
                    <a:lumMod val="75000"/>
                  </a:schemeClr>
                </a:solidFill>
              </a:ln>
            </c:spPr>
          </c:dPt>
          <c:dLbls>
            <c:dLbl>
              <c:idx val="4"/>
              <c:layout/>
              <c:tx>
                <c:rich>
                  <a:bodyPr/>
                  <a:lstStyle/>
                  <a:p>
                    <a:pPr>
                      <a:defRPr b="1">
                        <a:latin typeface="Times New Roman" pitchFamily="18" charset="0"/>
                        <a:cs typeface="Times New Roman" pitchFamily="18" charset="0"/>
                      </a:defRPr>
                    </a:pPr>
                    <a:r>
                      <a:rPr lang="en-US"/>
                      <a:t>1</a:t>
                    </a:r>
                    <a:r>
                      <a:rPr lang="ru-RU"/>
                      <a:t>23</a:t>
                    </a:r>
                    <a:r>
                      <a:rPr lang="en-US"/>
                      <a:t>,</a:t>
                    </a:r>
                    <a:r>
                      <a:rPr lang="ru-RU"/>
                      <a:t>3</a:t>
                    </a:r>
                    <a:r>
                      <a:rPr lang="en-US"/>
                      <a:t>0</a:t>
                    </a:r>
                  </a:p>
                </c:rich>
              </c:tx>
              <c:numFmt formatCode="#,##0.00" sourceLinked="0"/>
              <c:spPr/>
              <c:dLblPos val="inBase"/>
              <c:showVal val="1"/>
            </c:dLbl>
            <c:txPr>
              <a:bodyPr/>
              <a:lstStyle/>
              <a:p>
                <a:pPr>
                  <a:defRPr b="1">
                    <a:latin typeface="Times New Roman" pitchFamily="18" charset="0"/>
                    <a:cs typeface="Times New Roman" pitchFamily="18" charset="0"/>
                  </a:defRPr>
                </a:pPr>
                <a:endParaRPr lang="ru-RU"/>
              </a:p>
            </c:txPr>
            <c:dLblPos val="inBase"/>
            <c:showVal val="1"/>
          </c:dLbls>
          <c:cat>
            <c:strRef>
              <c:f>Лист2!$C$28:$J$28</c:f>
              <c:strCache>
                <c:ptCount val="8"/>
                <c:pt idx="0">
                  <c:v>2010 год  факт</c:v>
                </c:pt>
                <c:pt idx="1">
                  <c:v>2011 год   факт</c:v>
                </c:pt>
                <c:pt idx="2">
                  <c:v>2012 год   факт</c:v>
                </c:pt>
                <c:pt idx="3">
                  <c:v>2013 год  факт</c:v>
                </c:pt>
                <c:pt idx="4">
                  <c:v>2014 год  оценка</c:v>
                </c:pt>
                <c:pt idx="5">
                  <c:v> 2015 год  прогноз </c:v>
                </c:pt>
                <c:pt idx="6">
                  <c:v>2016  год  прогноз  </c:v>
                </c:pt>
                <c:pt idx="7">
                  <c:v>2017 год  прогноз </c:v>
                </c:pt>
              </c:strCache>
            </c:strRef>
          </c:cat>
          <c:val>
            <c:numRef>
              <c:f>Лист2!$C$29:$J$29</c:f>
              <c:numCache>
                <c:formatCode>General</c:formatCode>
                <c:ptCount val="8"/>
                <c:pt idx="0">
                  <c:v>85.1</c:v>
                </c:pt>
                <c:pt idx="1">
                  <c:v>69.900000000000006</c:v>
                </c:pt>
                <c:pt idx="2">
                  <c:v>96.8</c:v>
                </c:pt>
                <c:pt idx="3">
                  <c:v>114.7</c:v>
                </c:pt>
                <c:pt idx="4">
                  <c:v>119.7</c:v>
                </c:pt>
                <c:pt idx="5" formatCode="0.0">
                  <c:v>130</c:v>
                </c:pt>
                <c:pt idx="6" formatCode="0.0">
                  <c:v>137</c:v>
                </c:pt>
                <c:pt idx="7" formatCode="0.0">
                  <c:v>144.6</c:v>
                </c:pt>
              </c:numCache>
            </c:numRef>
          </c:val>
        </c:ser>
        <c:gapWidth val="75"/>
        <c:overlap val="-25"/>
        <c:axId val="182054272"/>
        <c:axId val="186262656"/>
      </c:barChart>
      <c:lineChart>
        <c:grouping val="standard"/>
        <c:ser>
          <c:idx val="1"/>
          <c:order val="1"/>
          <c:tx>
            <c:strRef>
              <c:f>Лист2!$B$31</c:f>
              <c:strCache>
                <c:ptCount val="1"/>
                <c:pt idx="0">
                  <c:v>Темп роста,%</c:v>
                </c:pt>
              </c:strCache>
            </c:strRef>
          </c:tx>
          <c:dPt>
            <c:idx val="5"/>
            <c:marker>
              <c:spPr>
                <a:ln>
                  <a:prstDash val="sysDash"/>
                </a:ln>
              </c:spPr>
            </c:marker>
            <c:spPr>
              <a:ln>
                <a:prstDash val="sysDash"/>
              </a:ln>
            </c:spPr>
          </c:dPt>
          <c:dPt>
            <c:idx val="6"/>
            <c:marker>
              <c:spPr>
                <a:ln>
                  <a:prstDash val="sysDash"/>
                </a:ln>
              </c:spPr>
            </c:marker>
            <c:spPr>
              <a:ln>
                <a:prstDash val="sysDash"/>
              </a:ln>
            </c:spPr>
          </c:dPt>
          <c:dPt>
            <c:idx val="7"/>
            <c:marker>
              <c:spPr>
                <a:ln>
                  <a:prstDash val="sysDash"/>
                </a:ln>
              </c:spPr>
            </c:marker>
            <c:spPr>
              <a:ln>
                <a:prstDash val="sysDash"/>
              </a:ln>
            </c:spPr>
          </c:dPt>
          <c:dLbls>
            <c:dLbl>
              <c:idx val="4"/>
              <c:layout/>
              <c:tx>
                <c:rich>
                  <a:bodyPr/>
                  <a:lstStyle/>
                  <a:p>
                    <a:r>
                      <a:rPr lang="en-US"/>
                      <a:t>10</a:t>
                    </a:r>
                    <a:r>
                      <a:rPr lang="ru-RU"/>
                      <a:t>7</a:t>
                    </a:r>
                    <a:r>
                      <a:rPr lang="en-US"/>
                      <a:t>,</a:t>
                    </a:r>
                    <a:r>
                      <a:rPr lang="ru-RU"/>
                      <a:t>5</a:t>
                    </a:r>
                    <a:endParaRPr lang="en-US"/>
                  </a:p>
                </c:rich>
              </c:tx>
              <c:dLblPos val="t"/>
              <c:showVal val="1"/>
            </c:dLbl>
            <c:numFmt formatCode="#,##0.0" sourceLinked="0"/>
            <c:txPr>
              <a:bodyPr/>
              <a:lstStyle/>
              <a:p>
                <a:pPr>
                  <a:defRPr sz="900" b="1">
                    <a:latin typeface="Times New Roman" pitchFamily="18" charset="0"/>
                    <a:cs typeface="Times New Roman" pitchFamily="18" charset="0"/>
                  </a:defRPr>
                </a:pPr>
                <a:endParaRPr lang="ru-RU"/>
              </a:p>
            </c:txPr>
            <c:dLblPos val="t"/>
            <c:showVal val="1"/>
          </c:dLbls>
          <c:cat>
            <c:strRef>
              <c:f>Лист2!$C$28:$J$28</c:f>
              <c:strCache>
                <c:ptCount val="8"/>
                <c:pt idx="0">
                  <c:v>2010 год  факт</c:v>
                </c:pt>
                <c:pt idx="1">
                  <c:v>2011 год   факт</c:v>
                </c:pt>
                <c:pt idx="2">
                  <c:v>2012 год   факт</c:v>
                </c:pt>
                <c:pt idx="3">
                  <c:v>2013 год  факт</c:v>
                </c:pt>
                <c:pt idx="4">
                  <c:v>2014 год  оценка</c:v>
                </c:pt>
                <c:pt idx="5">
                  <c:v> 2015 год  прогноз </c:v>
                </c:pt>
                <c:pt idx="6">
                  <c:v>2016  год  прогноз  </c:v>
                </c:pt>
                <c:pt idx="7">
                  <c:v>2017 год  прогноз </c:v>
                </c:pt>
              </c:strCache>
            </c:strRef>
          </c:cat>
          <c:val>
            <c:numRef>
              <c:f>Лист2!$C$31:$J$31</c:f>
              <c:numCache>
                <c:formatCode>0.0</c:formatCode>
                <c:ptCount val="8"/>
                <c:pt idx="0" formatCode="General">
                  <c:v>197.44779582366579</c:v>
                </c:pt>
                <c:pt idx="1">
                  <c:v>82.138660399529343</c:v>
                </c:pt>
                <c:pt idx="2">
                  <c:v>138.48354792560801</c:v>
                </c:pt>
                <c:pt idx="3">
                  <c:v>118.49173553719008</c:v>
                </c:pt>
                <c:pt idx="4">
                  <c:v>104.35919790758403</c:v>
                </c:pt>
                <c:pt idx="5">
                  <c:v>108.60484544695068</c:v>
                </c:pt>
                <c:pt idx="6">
                  <c:v>105.38461538461591</c:v>
                </c:pt>
                <c:pt idx="7">
                  <c:v>105.54744525547446</c:v>
                </c:pt>
              </c:numCache>
            </c:numRef>
          </c:val>
        </c:ser>
        <c:marker val="1"/>
        <c:axId val="186270080"/>
        <c:axId val="186264192"/>
      </c:lineChart>
      <c:catAx>
        <c:axId val="182054272"/>
        <c:scaling>
          <c:orientation val="minMax"/>
        </c:scaling>
        <c:axPos val="b"/>
        <c:majorTickMark val="none"/>
        <c:tickLblPos val="nextTo"/>
        <c:txPr>
          <a:bodyPr/>
          <a:lstStyle/>
          <a:p>
            <a:pPr>
              <a:defRPr sz="900" b="1">
                <a:latin typeface="Times New Roman" pitchFamily="18" charset="0"/>
                <a:cs typeface="Times New Roman" pitchFamily="18" charset="0"/>
              </a:defRPr>
            </a:pPr>
            <a:endParaRPr lang="ru-RU"/>
          </a:p>
        </c:txPr>
        <c:crossAx val="186262656"/>
        <c:crosses val="autoZero"/>
        <c:auto val="1"/>
        <c:lblAlgn val="ctr"/>
        <c:lblOffset val="100"/>
      </c:catAx>
      <c:valAx>
        <c:axId val="186262656"/>
        <c:scaling>
          <c:orientation val="minMax"/>
        </c:scaling>
        <c:axPos val="l"/>
        <c:numFmt formatCode="General" sourceLinked="1"/>
        <c:majorTickMark val="none"/>
        <c:tickLblPos val="nextTo"/>
        <c:spPr>
          <a:ln w="9525">
            <a:noFill/>
          </a:ln>
        </c:spPr>
        <c:txPr>
          <a:bodyPr/>
          <a:lstStyle/>
          <a:p>
            <a:pPr>
              <a:defRPr>
                <a:solidFill>
                  <a:schemeClr val="bg1"/>
                </a:solidFill>
              </a:defRPr>
            </a:pPr>
            <a:endParaRPr lang="ru-RU"/>
          </a:p>
        </c:txPr>
        <c:crossAx val="182054272"/>
        <c:crosses val="autoZero"/>
        <c:crossBetween val="between"/>
      </c:valAx>
      <c:valAx>
        <c:axId val="186264192"/>
        <c:scaling>
          <c:orientation val="minMax"/>
        </c:scaling>
        <c:axPos val="r"/>
        <c:numFmt formatCode="General" sourceLinked="1"/>
        <c:tickLblPos val="nextTo"/>
        <c:spPr>
          <a:noFill/>
          <a:ln>
            <a:solidFill>
              <a:schemeClr val="bg1"/>
            </a:solidFill>
          </a:ln>
        </c:spPr>
        <c:txPr>
          <a:bodyPr/>
          <a:lstStyle/>
          <a:p>
            <a:pPr>
              <a:defRPr>
                <a:solidFill>
                  <a:schemeClr val="bg1"/>
                </a:solidFill>
              </a:defRPr>
            </a:pPr>
            <a:endParaRPr lang="ru-RU"/>
          </a:p>
        </c:txPr>
        <c:crossAx val="186270080"/>
        <c:crosses val="max"/>
        <c:crossBetween val="between"/>
      </c:valAx>
      <c:catAx>
        <c:axId val="186270080"/>
        <c:scaling>
          <c:orientation val="minMax"/>
        </c:scaling>
        <c:delete val="1"/>
        <c:axPos val="b"/>
        <c:tickLblPos val="none"/>
        <c:crossAx val="186264192"/>
        <c:crosses val="autoZero"/>
        <c:auto val="1"/>
        <c:lblAlgn val="ctr"/>
        <c:lblOffset val="100"/>
      </c:catAx>
    </c:plotArea>
    <c:legend>
      <c:legendPos val="b"/>
      <c:legendEntry>
        <c:idx val="0"/>
        <c:txPr>
          <a:bodyPr/>
          <a:lstStyle/>
          <a:p>
            <a:pPr>
              <a:defRPr b="1">
                <a:latin typeface="Times New Roman" pitchFamily="18" charset="0"/>
                <a:cs typeface="Times New Roman" pitchFamily="18" charset="0"/>
              </a:defRPr>
            </a:pPr>
            <a:endParaRPr lang="ru-RU"/>
          </a:p>
        </c:txPr>
      </c:legendEntry>
      <c:legendEntry>
        <c:idx val="1"/>
        <c:txPr>
          <a:bodyPr/>
          <a:lstStyle/>
          <a:p>
            <a:pPr>
              <a:defRPr b="1">
                <a:latin typeface="Times New Roman" pitchFamily="18" charset="0"/>
                <a:cs typeface="Times New Roman" pitchFamily="18" charset="0"/>
              </a:defRPr>
            </a:pPr>
            <a:endParaRPr lang="ru-RU"/>
          </a:p>
        </c:txPr>
      </c:legendEntry>
      <c:layout>
        <c:manualLayout>
          <c:xMode val="edge"/>
          <c:yMode val="edge"/>
          <c:x val="0"/>
          <c:y val="0.81210933999103752"/>
          <c:w val="1"/>
          <c:h val="0.18789066000896229"/>
        </c:manualLayout>
      </c:layout>
      <c:txPr>
        <a:bodyPr/>
        <a:lstStyle/>
        <a:p>
          <a:pPr>
            <a:defRPr>
              <a:latin typeface="Times New Roman" pitchFamily="18" charset="0"/>
              <a:cs typeface="Times New Roman" pitchFamily="18" charset="0"/>
            </a:defRPr>
          </a:pPr>
          <a:endParaRPr lang="ru-RU"/>
        </a:p>
      </c:txPr>
    </c:legend>
    <c:plotVisOnly val="1"/>
    <c:dispBlanksAs val="gap"/>
  </c:chart>
  <c:spPr>
    <a:ln>
      <a:solidFill>
        <a:schemeClr val="bg1"/>
      </a:solidFill>
    </a:ln>
  </c:spPr>
  <c:externalData r:id="rId2"/>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ru-RU"/>
  <c:style val="5"/>
  <c:chart>
    <c:autoTitleDeleted val="1"/>
    <c:view3D>
      <c:rotX val="0"/>
      <c:rotY val="0"/>
      <c:perspective val="20"/>
    </c:view3D>
    <c:plotArea>
      <c:layout>
        <c:manualLayout>
          <c:layoutTarget val="inner"/>
          <c:xMode val="edge"/>
          <c:yMode val="edge"/>
          <c:x val="8.1718666596786727E-2"/>
          <c:y val="9.5151738845144329E-2"/>
          <c:w val="0.89496390221300282"/>
          <c:h val="0.46488599081365162"/>
        </c:manualLayout>
      </c:layout>
      <c:bar3DChart>
        <c:barDir val="col"/>
        <c:grouping val="clustered"/>
        <c:ser>
          <c:idx val="0"/>
          <c:order val="0"/>
          <c:tx>
            <c:strRef>
              <c:f>Лист2!$A$3:$B$3</c:f>
              <c:strCache>
                <c:ptCount val="1"/>
                <c:pt idx="0">
                  <c:v>Уровень официально зарегистрированной безработицы, %</c:v>
                </c:pt>
              </c:strCache>
            </c:strRef>
          </c:tx>
          <c:spPr>
            <a:gradFill flip="none" rotWithShape="1">
              <a:gsLst>
                <a:gs pos="0">
                  <a:srgbClr val="9BBB59">
                    <a:lumMod val="50000"/>
                    <a:shade val="30000"/>
                    <a:satMod val="115000"/>
                  </a:srgbClr>
                </a:gs>
                <a:gs pos="50000">
                  <a:srgbClr val="9BBB59">
                    <a:lumMod val="50000"/>
                    <a:shade val="67500"/>
                    <a:satMod val="115000"/>
                  </a:srgbClr>
                </a:gs>
                <a:gs pos="100000">
                  <a:srgbClr val="9BBB59">
                    <a:lumMod val="50000"/>
                    <a:shade val="100000"/>
                    <a:satMod val="115000"/>
                  </a:srgbClr>
                </a:gs>
              </a:gsLst>
              <a:lin ang="16200000" scaled="1"/>
              <a:tileRect/>
            </a:gradFill>
          </c:spPr>
          <c:dLbls>
            <c:dLbl>
              <c:idx val="2"/>
              <c:layout>
                <c:manualLayout>
                  <c:x val="2.760524499654957E-3"/>
                  <c:y val="1.0416666666666619E-2"/>
                </c:manualLayout>
              </c:layout>
              <c:showVal val="1"/>
            </c:dLbl>
            <c:dLbl>
              <c:idx val="3"/>
              <c:layout>
                <c:manualLayout>
                  <c:x val="-5.0609031187161429E-17"/>
                  <c:y val="2.0833333333333412E-2"/>
                </c:manualLayout>
              </c:layout>
              <c:showVal val="1"/>
            </c:dLbl>
            <c:dLbl>
              <c:idx val="4"/>
              <c:layout>
                <c:manualLayout>
                  <c:x val="0"/>
                  <c:y val="2.0833333333333412E-2"/>
                </c:manualLayout>
              </c:layout>
              <c:showVal val="1"/>
            </c:dLbl>
            <c:dLbl>
              <c:idx val="5"/>
              <c:layout>
                <c:manualLayout>
                  <c:x val="0"/>
                  <c:y val="1.5624999999999951E-2"/>
                </c:manualLayout>
              </c:layout>
              <c:showVal val="1"/>
            </c:dLbl>
            <c:dLbl>
              <c:idx val="6"/>
              <c:layout>
                <c:manualLayout>
                  <c:x val="0"/>
                  <c:y val="5.208333333333333E-3"/>
                </c:manualLayout>
              </c:layout>
              <c:showVal val="1"/>
            </c:dLbl>
            <c:dLbl>
              <c:idx val="7"/>
              <c:layout>
                <c:manualLayout>
                  <c:x val="0"/>
                  <c:y val="1.5625000000000062E-2"/>
                </c:manualLayout>
              </c:layout>
              <c:showVal val="1"/>
            </c:dLbl>
            <c:dLbl>
              <c:idx val="8"/>
              <c:layout>
                <c:manualLayout>
                  <c:x val="0"/>
                  <c:y val="1.5625E-2"/>
                </c:manualLayout>
              </c:layout>
              <c:showVal val="1"/>
            </c:dLbl>
            <c:txPr>
              <a:bodyPr/>
              <a:lstStyle/>
              <a:p>
                <a:pPr>
                  <a:defRPr sz="1050" b="1"/>
                </a:pPr>
                <a:endParaRPr lang="ru-RU"/>
              </a:p>
            </c:txPr>
            <c:showVal val="1"/>
          </c:dLbls>
          <c:cat>
            <c:multiLvlStrRef>
              <c:f>Лист2!$C$1:$K$2</c:f>
              <c:multiLvlStrCache>
                <c:ptCount val="9"/>
                <c:lvl>
                  <c:pt idx="0">
                    <c:v>2012</c:v>
                  </c:pt>
                  <c:pt idx="1">
                    <c:v>2013</c:v>
                  </c:pt>
                  <c:pt idx="2">
                    <c:v>2014                оценка</c:v>
                  </c:pt>
                  <c:pt idx="3">
                    <c:v>вар. 1</c:v>
                  </c:pt>
                  <c:pt idx="4">
                    <c:v> вар. 2</c:v>
                  </c:pt>
                  <c:pt idx="5">
                    <c:v>вар. 1</c:v>
                  </c:pt>
                  <c:pt idx="6">
                    <c:v>вар. 2</c:v>
                  </c:pt>
                  <c:pt idx="7">
                    <c:v>вар. 1</c:v>
                  </c:pt>
                  <c:pt idx="8">
                    <c:v>вар. 2</c:v>
                  </c:pt>
                </c:lvl>
                <c:lvl>
                  <c:pt idx="3">
                    <c:v>2015 прогноз</c:v>
                  </c:pt>
                  <c:pt idx="5">
                    <c:v>2016 прогноз</c:v>
                  </c:pt>
                  <c:pt idx="7">
                    <c:v>2017 прогноз</c:v>
                  </c:pt>
                </c:lvl>
              </c:multiLvlStrCache>
            </c:multiLvlStrRef>
          </c:cat>
          <c:val>
            <c:numRef>
              <c:f>Лист2!$C$3:$K$3</c:f>
              <c:numCache>
                <c:formatCode>0.00</c:formatCode>
                <c:ptCount val="9"/>
                <c:pt idx="0">
                  <c:v>0.93</c:v>
                </c:pt>
                <c:pt idx="1">
                  <c:v>0.84000000000000064</c:v>
                </c:pt>
                <c:pt idx="2">
                  <c:v>0.80999999999999994</c:v>
                </c:pt>
                <c:pt idx="3">
                  <c:v>0.8</c:v>
                </c:pt>
                <c:pt idx="4">
                  <c:v>0.77974417382162264</c:v>
                </c:pt>
                <c:pt idx="5">
                  <c:v>0.8</c:v>
                </c:pt>
                <c:pt idx="6">
                  <c:v>0.75243228109470139</c:v>
                </c:pt>
                <c:pt idx="7">
                  <c:v>0.78584603012264098</c:v>
                </c:pt>
                <c:pt idx="8">
                  <c:v>0.72987602584250033</c:v>
                </c:pt>
              </c:numCache>
            </c:numRef>
          </c:val>
        </c:ser>
        <c:ser>
          <c:idx val="1"/>
          <c:order val="1"/>
          <c:tx>
            <c:strRef>
              <c:f>Лист2!$A$4:$B$4</c:f>
              <c:strCache>
                <c:ptCount val="1"/>
                <c:pt idx="0">
                  <c:v>Уровень безработицы, расчитанная по методологии МОТ, %</c:v>
                </c:pt>
              </c:strCache>
            </c:strRef>
          </c:tx>
          <c:spPr>
            <a:gradFill flip="none" rotWithShape="1">
              <a:gsLst>
                <a:gs pos="0">
                  <a:srgbClr val="9BBB59">
                    <a:lumMod val="40000"/>
                    <a:lumOff val="60000"/>
                    <a:shade val="30000"/>
                    <a:satMod val="115000"/>
                  </a:srgbClr>
                </a:gs>
                <a:gs pos="50000">
                  <a:srgbClr val="9BBB59">
                    <a:lumMod val="40000"/>
                    <a:lumOff val="60000"/>
                    <a:shade val="67500"/>
                    <a:satMod val="115000"/>
                  </a:srgbClr>
                </a:gs>
                <a:gs pos="100000">
                  <a:srgbClr val="9BBB59">
                    <a:lumMod val="40000"/>
                    <a:lumOff val="60000"/>
                    <a:shade val="100000"/>
                    <a:satMod val="115000"/>
                  </a:srgbClr>
                </a:gs>
              </a:gsLst>
              <a:lin ang="5400000" scaled="1"/>
              <a:tileRect/>
            </a:gradFill>
          </c:spPr>
          <c:dLbls>
            <c:txPr>
              <a:bodyPr/>
              <a:lstStyle/>
              <a:p>
                <a:pPr>
                  <a:defRPr sz="1050" b="1"/>
                </a:pPr>
                <a:endParaRPr lang="ru-RU"/>
              </a:p>
            </c:txPr>
            <c:showVal val="1"/>
          </c:dLbls>
          <c:cat>
            <c:multiLvlStrRef>
              <c:f>Лист2!$C$1:$K$2</c:f>
              <c:multiLvlStrCache>
                <c:ptCount val="9"/>
                <c:lvl>
                  <c:pt idx="0">
                    <c:v>2012</c:v>
                  </c:pt>
                  <c:pt idx="1">
                    <c:v>2013</c:v>
                  </c:pt>
                  <c:pt idx="2">
                    <c:v>2014                оценка</c:v>
                  </c:pt>
                  <c:pt idx="3">
                    <c:v>вар. 1</c:v>
                  </c:pt>
                  <c:pt idx="4">
                    <c:v> вар. 2</c:v>
                  </c:pt>
                  <c:pt idx="5">
                    <c:v>вар. 1</c:v>
                  </c:pt>
                  <c:pt idx="6">
                    <c:v>вар. 2</c:v>
                  </c:pt>
                  <c:pt idx="7">
                    <c:v>вар. 1</c:v>
                  </c:pt>
                  <c:pt idx="8">
                    <c:v>вар. 2</c:v>
                  </c:pt>
                </c:lvl>
                <c:lvl>
                  <c:pt idx="3">
                    <c:v>2015 прогноз</c:v>
                  </c:pt>
                  <c:pt idx="5">
                    <c:v>2016 прогноз</c:v>
                  </c:pt>
                  <c:pt idx="7">
                    <c:v>2017 прогноз</c:v>
                  </c:pt>
                </c:lvl>
              </c:multiLvlStrCache>
            </c:multiLvlStrRef>
          </c:cat>
          <c:val>
            <c:numRef>
              <c:f>Лист2!$C$4:$K$4</c:f>
              <c:numCache>
                <c:formatCode>#,##0.00</c:formatCode>
                <c:ptCount val="9"/>
                <c:pt idx="0">
                  <c:v>7.7464788732394378</c:v>
                </c:pt>
                <c:pt idx="1">
                  <c:v>7.7192982456140706</c:v>
                </c:pt>
                <c:pt idx="2">
                  <c:v>7.6302403087177684</c:v>
                </c:pt>
                <c:pt idx="3">
                  <c:v>7.6289021396001395</c:v>
                </c:pt>
                <c:pt idx="4">
                  <c:v>7.464517259505822</c:v>
                </c:pt>
                <c:pt idx="5">
                  <c:v>7.4619022595901185</c:v>
                </c:pt>
                <c:pt idx="6">
                  <c:v>7.4105830475256962</c:v>
                </c:pt>
                <c:pt idx="7">
                  <c:v>7.3427215272860655</c:v>
                </c:pt>
                <c:pt idx="8">
                  <c:v>7.3162214073686114</c:v>
                </c:pt>
              </c:numCache>
            </c:numRef>
          </c:val>
        </c:ser>
        <c:dLbls>
          <c:showVal val="1"/>
        </c:dLbls>
        <c:gapWidth val="18"/>
        <c:gapDepth val="494"/>
        <c:shape val="cylinder"/>
        <c:axId val="194187264"/>
        <c:axId val="194188800"/>
        <c:axId val="0"/>
      </c:bar3DChart>
      <c:catAx>
        <c:axId val="194187264"/>
        <c:scaling>
          <c:orientation val="minMax"/>
        </c:scaling>
        <c:axPos val="b"/>
        <c:majorTickMark val="none"/>
        <c:tickLblPos val="nextTo"/>
        <c:crossAx val="194188800"/>
        <c:crosses val="autoZero"/>
        <c:auto val="1"/>
        <c:lblAlgn val="ctr"/>
        <c:lblOffset val="100"/>
        <c:tickLblSkip val="1"/>
      </c:catAx>
      <c:valAx>
        <c:axId val="194188800"/>
        <c:scaling>
          <c:orientation val="minMax"/>
          <c:max val="10"/>
          <c:min val="0"/>
        </c:scaling>
        <c:delete val="1"/>
        <c:axPos val="l"/>
        <c:numFmt formatCode="0.00" sourceLinked="1"/>
        <c:majorTickMark val="none"/>
        <c:tickLblPos val="none"/>
        <c:crossAx val="194187264"/>
        <c:crosses val="autoZero"/>
        <c:crossBetween val="between"/>
        <c:majorUnit val="2"/>
        <c:minorUnit val="1"/>
      </c:valAx>
    </c:plotArea>
    <c:legend>
      <c:legendPos val="b"/>
      <c:layout>
        <c:manualLayout>
          <c:xMode val="edge"/>
          <c:yMode val="edge"/>
          <c:x val="0"/>
          <c:y val="0.83697834645669611"/>
          <c:w val="1"/>
          <c:h val="0.13858267716535433"/>
        </c:manualLayout>
      </c:layout>
    </c:legend>
    <c:plotVisOnly val="1"/>
    <c:dispBlanksAs val="gap"/>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2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12325917593634129"/>
          <c:y val="6.5242094404315332E-2"/>
          <c:w val="0.80778013122730652"/>
          <c:h val="0.56089832247885474"/>
        </c:manualLayout>
      </c:layout>
      <c:barChart>
        <c:barDir val="col"/>
        <c:grouping val="clustered"/>
        <c:ser>
          <c:idx val="0"/>
          <c:order val="0"/>
          <c:tx>
            <c:strRef>
              <c:f>Лист1!$A$4:$C$4</c:f>
              <c:strCache>
                <c:ptCount val="1"/>
                <c:pt idx="0">
                  <c:v>Средняя номинальная начисленная заработная плата работников организаций, рублей</c:v>
                </c:pt>
              </c:strCache>
            </c:strRef>
          </c:tx>
          <c:dLbls>
            <c:dLbl>
              <c:idx val="1"/>
              <c:layout>
                <c:manualLayout>
                  <c:x val="0"/>
                  <c:y val="0.27223781221943177"/>
                </c:manualLayout>
              </c:layout>
              <c:dLblPos val="outEnd"/>
              <c:showVal val="1"/>
            </c:dLbl>
            <c:dLbl>
              <c:idx val="3"/>
              <c:layout>
                <c:manualLayout>
                  <c:x val="5.3015230816627354E-3"/>
                  <c:y val="0.30587677960422099"/>
                </c:manualLayout>
              </c:layout>
              <c:dLblPos val="outEnd"/>
              <c:showVal val="1"/>
            </c:dLbl>
            <c:dLbl>
              <c:idx val="5"/>
              <c:layout>
                <c:manualLayout>
                  <c:x val="0"/>
                  <c:y val="0.35380895294521925"/>
                </c:manualLayout>
              </c:layout>
              <c:dLblPos val="outEnd"/>
              <c:showVal val="1"/>
            </c:dLbl>
            <c:dLbl>
              <c:idx val="7"/>
              <c:layout>
                <c:manualLayout>
                  <c:x val="-7.9522846224939873E-3"/>
                  <c:y val="0.24862094895675163"/>
                </c:manualLayout>
              </c:layout>
              <c:dLblPos val="outEnd"/>
              <c:showVal val="1"/>
            </c:dLbl>
            <c:txPr>
              <a:bodyPr/>
              <a:lstStyle/>
              <a:p>
                <a:pPr>
                  <a:defRPr b="1">
                    <a:latin typeface="Times New Roman" pitchFamily="18" charset="0"/>
                    <a:cs typeface="Times New Roman" pitchFamily="18" charset="0"/>
                  </a:defRPr>
                </a:pPr>
                <a:endParaRPr lang="ru-RU"/>
              </a:p>
            </c:txPr>
            <c:dLblPos val="ctr"/>
            <c:showVal val="1"/>
          </c:dLbls>
          <c:cat>
            <c:strRef>
              <c:f>Лист1!$D$2:$K$3</c:f>
              <c:strCache>
                <c:ptCount val="8"/>
                <c:pt idx="0">
                  <c:v>2010</c:v>
                </c:pt>
                <c:pt idx="1">
                  <c:v>2011</c:v>
                </c:pt>
                <c:pt idx="2">
                  <c:v>2012</c:v>
                </c:pt>
                <c:pt idx="3">
                  <c:v>2013</c:v>
                </c:pt>
                <c:pt idx="4">
                  <c:v>2014 оценка</c:v>
                </c:pt>
                <c:pt idx="5">
                  <c:v>2015                         вар. 1</c:v>
                </c:pt>
                <c:pt idx="6">
                  <c:v>2016     вар. 1</c:v>
                </c:pt>
                <c:pt idx="7">
                  <c:v>2017     вар. 1</c:v>
                </c:pt>
              </c:strCache>
            </c:strRef>
          </c:cat>
          <c:val>
            <c:numRef>
              <c:f>Лист1!$D$4:$K$4</c:f>
              <c:numCache>
                <c:formatCode>#,##0</c:formatCode>
                <c:ptCount val="8"/>
                <c:pt idx="0">
                  <c:v>37995.1</c:v>
                </c:pt>
                <c:pt idx="1">
                  <c:v>41834.300000000003</c:v>
                </c:pt>
                <c:pt idx="2">
                  <c:v>45988</c:v>
                </c:pt>
                <c:pt idx="3">
                  <c:v>51563</c:v>
                </c:pt>
                <c:pt idx="4">
                  <c:v>55204.415264205592</c:v>
                </c:pt>
                <c:pt idx="5">
                  <c:v>59234.340000000011</c:v>
                </c:pt>
                <c:pt idx="6">
                  <c:v>63558.450000000012</c:v>
                </c:pt>
                <c:pt idx="7">
                  <c:v>68198.22</c:v>
                </c:pt>
              </c:numCache>
            </c:numRef>
          </c:val>
        </c:ser>
        <c:gapWidth val="75"/>
        <c:overlap val="-25"/>
        <c:axId val="194227584"/>
        <c:axId val="194229376"/>
      </c:barChart>
      <c:lineChart>
        <c:grouping val="standard"/>
        <c:ser>
          <c:idx val="1"/>
          <c:order val="1"/>
          <c:tx>
            <c:strRef>
              <c:f>Лист1!$A$5:$C$5</c:f>
              <c:strCache>
                <c:ptCount val="1"/>
                <c:pt idx="0">
                  <c:v>Реальная начисленная заработная плата работников организаций, % к предыдущему году</c:v>
                </c:pt>
              </c:strCache>
            </c:strRef>
          </c:tx>
          <c:spPr>
            <a:ln w="38100">
              <a:solidFill>
                <a:srgbClr val="FF00FF"/>
              </a:solidFill>
              <a:prstDash val="solid"/>
            </a:ln>
          </c:spPr>
          <c:marker>
            <c:spPr>
              <a:solidFill>
                <a:srgbClr val="FF00FF"/>
              </a:solidFill>
              <a:ln w="38100">
                <a:solidFill>
                  <a:srgbClr val="FF00FF"/>
                </a:solidFill>
                <a:prstDash val="solid"/>
              </a:ln>
            </c:spPr>
          </c:marker>
          <c:dLbls>
            <c:txPr>
              <a:bodyPr/>
              <a:lstStyle/>
              <a:p>
                <a:pPr>
                  <a:defRPr>
                    <a:latin typeface="Times New Roman" pitchFamily="18" charset="0"/>
                    <a:cs typeface="Times New Roman" pitchFamily="18" charset="0"/>
                  </a:defRPr>
                </a:pPr>
                <a:endParaRPr lang="ru-RU"/>
              </a:p>
            </c:txPr>
            <c:dLblPos val="t"/>
            <c:showVal val="1"/>
          </c:dLbls>
          <c:cat>
            <c:strRef>
              <c:f>Лист1!$D$2:$K$3</c:f>
              <c:strCache>
                <c:ptCount val="8"/>
                <c:pt idx="0">
                  <c:v>2010</c:v>
                </c:pt>
                <c:pt idx="1">
                  <c:v>2011</c:v>
                </c:pt>
                <c:pt idx="2">
                  <c:v>2012</c:v>
                </c:pt>
                <c:pt idx="3">
                  <c:v>2013</c:v>
                </c:pt>
                <c:pt idx="4">
                  <c:v>2014 оценка</c:v>
                </c:pt>
                <c:pt idx="5">
                  <c:v>2015                         вар. 1</c:v>
                </c:pt>
                <c:pt idx="6">
                  <c:v>2016     вар. 1</c:v>
                </c:pt>
                <c:pt idx="7">
                  <c:v>2017     вар. 1</c:v>
                </c:pt>
              </c:strCache>
            </c:strRef>
          </c:cat>
          <c:val>
            <c:numRef>
              <c:f>Лист1!$D$5:$K$5</c:f>
              <c:numCache>
                <c:formatCode>General</c:formatCode>
                <c:ptCount val="8"/>
                <c:pt idx="0">
                  <c:v>104.2</c:v>
                </c:pt>
                <c:pt idx="1">
                  <c:v>102.3</c:v>
                </c:pt>
                <c:pt idx="2">
                  <c:v>104.9</c:v>
                </c:pt>
                <c:pt idx="3">
                  <c:v>105.5</c:v>
                </c:pt>
                <c:pt idx="4" formatCode="#,##0.00">
                  <c:v>101.34</c:v>
                </c:pt>
                <c:pt idx="5" formatCode="#,##0.00">
                  <c:v>101.41000000000012</c:v>
                </c:pt>
                <c:pt idx="6" formatCode="#,##0.00">
                  <c:v>101.79</c:v>
                </c:pt>
                <c:pt idx="7" formatCode="#,##0.00">
                  <c:v>101.99600000000002</c:v>
                </c:pt>
              </c:numCache>
            </c:numRef>
          </c:val>
        </c:ser>
        <c:marker val="1"/>
        <c:axId val="194244992"/>
        <c:axId val="194230912"/>
      </c:lineChart>
      <c:catAx>
        <c:axId val="194227584"/>
        <c:scaling>
          <c:orientation val="minMax"/>
        </c:scaling>
        <c:axPos val="b"/>
        <c:majorTickMark val="none"/>
        <c:tickLblPos val="nextTo"/>
        <c:txPr>
          <a:bodyPr/>
          <a:lstStyle/>
          <a:p>
            <a:pPr>
              <a:defRPr b="1">
                <a:latin typeface="Times New Roman" pitchFamily="18" charset="0"/>
                <a:cs typeface="Times New Roman" pitchFamily="18" charset="0"/>
              </a:defRPr>
            </a:pPr>
            <a:endParaRPr lang="ru-RU"/>
          </a:p>
        </c:txPr>
        <c:crossAx val="194229376"/>
        <c:crosses val="autoZero"/>
        <c:auto val="1"/>
        <c:lblAlgn val="ctr"/>
        <c:lblOffset val="100"/>
      </c:catAx>
      <c:valAx>
        <c:axId val="194229376"/>
        <c:scaling>
          <c:orientation val="minMax"/>
          <c:max val="70000"/>
          <c:min val="0"/>
        </c:scaling>
        <c:axPos val="l"/>
        <c:majorGridlines/>
        <c:numFmt formatCode="#,##0" sourceLinked="1"/>
        <c:majorTickMark val="none"/>
        <c:tickLblPos val="nextTo"/>
        <c:spPr>
          <a:ln w="9525">
            <a:noFill/>
          </a:ln>
        </c:spPr>
        <c:txPr>
          <a:bodyPr/>
          <a:lstStyle/>
          <a:p>
            <a:pPr>
              <a:defRPr>
                <a:latin typeface="Times New Roman" pitchFamily="18" charset="0"/>
                <a:cs typeface="Times New Roman" pitchFamily="18" charset="0"/>
              </a:defRPr>
            </a:pPr>
            <a:endParaRPr lang="ru-RU"/>
          </a:p>
        </c:txPr>
        <c:crossAx val="194227584"/>
        <c:crosses val="autoZero"/>
        <c:crossBetween val="between"/>
        <c:majorUnit val="10000"/>
        <c:minorUnit val="5000"/>
      </c:valAx>
      <c:valAx>
        <c:axId val="194230912"/>
        <c:scaling>
          <c:orientation val="minMax"/>
          <c:max val="115"/>
          <c:min val="0"/>
        </c:scaling>
        <c:axPos val="r"/>
        <c:numFmt formatCode="General" sourceLinked="1"/>
        <c:tickLblPos val="nextTo"/>
        <c:txPr>
          <a:bodyPr/>
          <a:lstStyle/>
          <a:p>
            <a:pPr>
              <a:defRPr>
                <a:latin typeface="Times New Roman" pitchFamily="18" charset="0"/>
                <a:cs typeface="Times New Roman" pitchFamily="18" charset="0"/>
              </a:defRPr>
            </a:pPr>
            <a:endParaRPr lang="ru-RU"/>
          </a:p>
        </c:txPr>
        <c:crossAx val="194244992"/>
        <c:crosses val="max"/>
        <c:crossBetween val="between"/>
        <c:majorUnit val="10"/>
        <c:minorUnit val="0.2"/>
      </c:valAx>
      <c:catAx>
        <c:axId val="194244992"/>
        <c:scaling>
          <c:orientation val="minMax"/>
        </c:scaling>
        <c:delete val="1"/>
        <c:axPos val="b"/>
        <c:tickLblPos val="none"/>
        <c:crossAx val="194230912"/>
        <c:crosses val="autoZero"/>
        <c:auto val="1"/>
        <c:lblAlgn val="ctr"/>
        <c:lblOffset val="100"/>
      </c:catAx>
    </c:plotArea>
    <c:legend>
      <c:legendPos val="b"/>
      <c:layout>
        <c:manualLayout>
          <c:xMode val="edge"/>
          <c:yMode val="edge"/>
          <c:x val="5.4594509624590927E-2"/>
          <c:y val="0.7631481107596596"/>
          <c:w val="0.88988715687248543"/>
          <c:h val="0.18848108375362699"/>
        </c:manualLayout>
      </c:layout>
      <c:txPr>
        <a:bodyPr/>
        <a:lstStyle/>
        <a:p>
          <a:pPr>
            <a:defRPr>
              <a:latin typeface="Times New Roman" pitchFamily="18" charset="0"/>
              <a:cs typeface="Times New Roman" pitchFamily="18" charset="0"/>
            </a:defRPr>
          </a:pPr>
          <a:endParaRPr lang="ru-RU"/>
        </a:p>
      </c:txPr>
    </c:legend>
    <c:plotVisOnly val="1"/>
    <c:dispBlanksAs val="gap"/>
  </c:chart>
  <c:spPr>
    <a:ln>
      <a:noFill/>
    </a:ln>
  </c:spPr>
  <c:externalData r:id="rId1"/>
</c:chartSpace>
</file>

<file path=word/charts/chart22.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dLbls>
            <c:txPr>
              <a:bodyPr/>
              <a:lstStyle/>
              <a:p>
                <a:pPr>
                  <a:defRPr sz="1200" b="1"/>
                </a:pPr>
                <a:endParaRPr lang="ru-RU"/>
              </a:p>
            </c:txPr>
            <c:showVal val="1"/>
          </c:dLbls>
          <c:cat>
            <c:strRef>
              <c:f>Лист1!$B$5:$H$5</c:f>
              <c:strCache>
                <c:ptCount val="7"/>
                <c:pt idx="0">
                  <c:v>2008 год</c:v>
                </c:pt>
                <c:pt idx="1">
                  <c:v>2009 год</c:v>
                </c:pt>
                <c:pt idx="2">
                  <c:v>2010 год</c:v>
                </c:pt>
                <c:pt idx="3">
                  <c:v>2011 год</c:v>
                </c:pt>
                <c:pt idx="4">
                  <c:v>2012 год</c:v>
                </c:pt>
                <c:pt idx="5">
                  <c:v>2013 год </c:v>
                </c:pt>
                <c:pt idx="6">
                  <c:v>2014 год (оценка)</c:v>
                </c:pt>
              </c:strCache>
            </c:strRef>
          </c:cat>
          <c:val>
            <c:numRef>
              <c:f>Лист1!$B$6:$H$6</c:f>
              <c:numCache>
                <c:formatCode>General</c:formatCode>
                <c:ptCount val="7"/>
                <c:pt idx="0">
                  <c:v>33</c:v>
                </c:pt>
                <c:pt idx="1">
                  <c:v>24</c:v>
                </c:pt>
                <c:pt idx="2">
                  <c:v>34</c:v>
                </c:pt>
                <c:pt idx="3">
                  <c:v>52</c:v>
                </c:pt>
                <c:pt idx="4">
                  <c:v>50</c:v>
                </c:pt>
                <c:pt idx="5">
                  <c:v>53</c:v>
                </c:pt>
                <c:pt idx="6">
                  <c:v>85</c:v>
                </c:pt>
              </c:numCache>
            </c:numRef>
          </c:val>
        </c:ser>
        <c:axId val="194260992"/>
        <c:axId val="194262528"/>
      </c:barChart>
      <c:catAx>
        <c:axId val="194260992"/>
        <c:scaling>
          <c:orientation val="minMax"/>
        </c:scaling>
        <c:axPos val="b"/>
        <c:tickLblPos val="nextTo"/>
        <c:crossAx val="194262528"/>
        <c:crosses val="autoZero"/>
        <c:auto val="1"/>
        <c:lblAlgn val="ctr"/>
        <c:lblOffset val="100"/>
      </c:catAx>
      <c:valAx>
        <c:axId val="194262528"/>
        <c:scaling>
          <c:orientation val="minMax"/>
        </c:scaling>
        <c:axPos val="l"/>
        <c:majorGridlines/>
        <c:numFmt formatCode="General" sourceLinked="1"/>
        <c:tickLblPos val="nextTo"/>
        <c:crossAx val="194260992"/>
        <c:crosses val="autoZero"/>
        <c:crossBetween val="between"/>
      </c:valAx>
    </c:plotArea>
    <c:plotVisOnly val="1"/>
    <c:dispBlanksAs val="gap"/>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23.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0.1967592592592593"/>
          <c:y val="0.32992739869330351"/>
          <c:w val="0.67129629629630072"/>
          <c:h val="0.58509361747443012"/>
        </c:manualLayout>
      </c:layout>
      <c:pie3DChart>
        <c:varyColors val="1"/>
        <c:ser>
          <c:idx val="0"/>
          <c:order val="0"/>
          <c:tx>
            <c:strRef>
              <c:f>Лист1!$B$1</c:f>
              <c:strCache>
                <c:ptCount val="1"/>
                <c:pt idx="0">
                  <c:v>2013 год</c:v>
                </c:pt>
              </c:strCache>
            </c:strRef>
          </c:tx>
          <c:explosion val="41"/>
          <c:dPt>
            <c:idx val="0"/>
            <c:explosion val="18"/>
          </c:dPt>
          <c:dPt>
            <c:idx val="1"/>
            <c:explosion val="16"/>
          </c:dPt>
          <c:dPt>
            <c:idx val="2"/>
            <c:explosion val="7"/>
          </c:dPt>
          <c:dLbls>
            <c:dLbl>
              <c:idx val="0"/>
              <c:layout>
                <c:manualLayout>
                  <c:x val="-3.5095326625838454E-2"/>
                  <c:y val="-6.853924509436321E-2"/>
                </c:manualLayout>
              </c:layout>
              <c:dLblPos val="bestFit"/>
              <c:showVal val="1"/>
              <c:showCatName val="1"/>
            </c:dLbl>
            <c:dLbl>
              <c:idx val="1"/>
              <c:layout>
                <c:manualLayout>
                  <c:x val="2.7776775298921016E-2"/>
                  <c:y val="4.0483064616922901E-2"/>
                </c:manualLayout>
              </c:layout>
              <c:dLblPos val="bestFit"/>
              <c:showVal val="1"/>
              <c:showCatName val="1"/>
            </c:dLbl>
            <c:dLbl>
              <c:idx val="2"/>
              <c:layout>
                <c:manualLayout>
                  <c:x val="1.2767844123651208E-2"/>
                  <c:y val="9.7645919260092764E-2"/>
                </c:manualLayout>
              </c:layout>
              <c:dLblPos val="bestFit"/>
              <c:showVal val="1"/>
              <c:showCatName val="1"/>
            </c:dLbl>
            <c:dLbl>
              <c:idx val="3"/>
              <c:layout>
                <c:manualLayout>
                  <c:x val="-0.21573994076428576"/>
                  <c:y val="3.3942208836798625E-2"/>
                </c:manualLayout>
              </c:layout>
              <c:tx>
                <c:rich>
                  <a:bodyPr/>
                  <a:lstStyle/>
                  <a:p>
                    <a:r>
                      <a:rPr lang="ru-RU" sz="1100"/>
                      <a:t>Г</a:t>
                    </a:r>
                    <a:r>
                      <a:rPr lang="ru-RU"/>
                      <a:t>осударственные внебюджетные фонды; 0,4%</a:t>
                    </a:r>
                  </a:p>
                </c:rich>
              </c:tx>
              <c:dLblPos val="bestFit"/>
              <c:showVal val="1"/>
              <c:showCatName val="1"/>
            </c:dLbl>
            <c:txPr>
              <a:bodyPr/>
              <a:lstStyle/>
              <a:p>
                <a:pPr>
                  <a:defRPr sz="1100"/>
                </a:pPr>
                <a:endParaRPr lang="ru-RU"/>
              </a:p>
            </c:txPr>
            <c:showVal val="1"/>
            <c:showCatName val="1"/>
            <c:showLeaderLines val="1"/>
          </c:dLbls>
          <c:cat>
            <c:strRef>
              <c:f>Лист1!$A$2:$A$5</c:f>
              <c:strCache>
                <c:ptCount val="4"/>
                <c:pt idx="0">
                  <c:v>Местный бюджет</c:v>
                </c:pt>
                <c:pt idx="1">
                  <c:v>Федеральный бюджет</c:v>
                </c:pt>
                <c:pt idx="2">
                  <c:v>Краевой бюджет</c:v>
                </c:pt>
                <c:pt idx="3">
                  <c:v>Государственные внебюджетные фонды</c:v>
                </c:pt>
              </c:strCache>
            </c:strRef>
          </c:cat>
          <c:val>
            <c:numRef>
              <c:f>Лист1!$B$2:$B$5</c:f>
              <c:numCache>
                <c:formatCode>0.0%</c:formatCode>
                <c:ptCount val="4"/>
                <c:pt idx="0">
                  <c:v>0.31300000000000078</c:v>
                </c:pt>
                <c:pt idx="1">
                  <c:v>0.15500000000000042</c:v>
                </c:pt>
                <c:pt idx="2">
                  <c:v>0.52800000000000002</c:v>
                </c:pt>
                <c:pt idx="3">
                  <c:v>4.0000000000000114E-3</c:v>
                </c:pt>
              </c:numCache>
            </c:numRef>
          </c:val>
        </c:ser>
      </c:pie3DChart>
      <c:spPr>
        <a:noFill/>
        <a:ln w="25400">
          <a:noFill/>
        </a:ln>
      </c:spPr>
    </c:plotArea>
    <c:plotVisOnly val="1"/>
    <c:dispBlanksAs val="zero"/>
  </c:chart>
  <c:txPr>
    <a:bodyPr/>
    <a:lstStyle/>
    <a:p>
      <a:pPr>
        <a:defRPr sz="1200" b="1">
          <a:latin typeface="Times New Roman" pitchFamily="18" charset="0"/>
          <a:cs typeface="Times New Roman" pitchFamily="18" charset="0"/>
        </a:defRPr>
      </a:pPr>
      <a:endParaRPr lang="ru-RU"/>
    </a:p>
  </c:txPr>
  <c:externalData r:id="rId1"/>
</c:chartSpace>
</file>

<file path=word/charts/chart24.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0.19444444444444597"/>
          <c:y val="0.29571024701603815"/>
          <c:w val="0.65046296296295825"/>
          <c:h val="0.55588041212072525"/>
        </c:manualLayout>
      </c:layout>
      <c:pie3DChart>
        <c:varyColors val="1"/>
        <c:ser>
          <c:idx val="0"/>
          <c:order val="0"/>
          <c:tx>
            <c:strRef>
              <c:f>Лист1!$B$1</c:f>
              <c:strCache>
                <c:ptCount val="1"/>
                <c:pt idx="0">
                  <c:v>1-ое полугодие 2014 года</c:v>
                </c:pt>
              </c:strCache>
            </c:strRef>
          </c:tx>
          <c:explosion val="25"/>
          <c:dLbls>
            <c:dLbl>
              <c:idx val="0"/>
              <c:layout>
                <c:manualLayout>
                  <c:x val="1.6822142023913685E-2"/>
                  <c:y val="-4.6157520798332054E-2"/>
                </c:manualLayout>
              </c:layout>
              <c:dLblPos val="bestFit"/>
              <c:showVal val="1"/>
              <c:showCatName val="1"/>
            </c:dLbl>
            <c:dLbl>
              <c:idx val="1"/>
              <c:layout>
                <c:manualLayout>
                  <c:x val="-9.2621755613881591E-3"/>
                  <c:y val="0.13424124041050228"/>
                </c:manualLayout>
              </c:layout>
              <c:dLblPos val="bestFit"/>
              <c:showVal val="1"/>
              <c:showCatName val="1"/>
            </c:dLbl>
            <c:dLbl>
              <c:idx val="2"/>
              <c:layout>
                <c:manualLayout>
                  <c:x val="4.0844998541848934E-2"/>
                  <c:y val="-0.27812130167533683"/>
                </c:manualLayout>
              </c:layout>
              <c:dLblPos val="bestFit"/>
              <c:showVal val="1"/>
              <c:showCatName val="1"/>
            </c:dLbl>
            <c:dLbl>
              <c:idx val="3"/>
              <c:layout>
                <c:manualLayout>
                  <c:x val="2.3525774693183114E-2"/>
                  <c:y val="-4.3345744572626098E-2"/>
                </c:manualLayout>
              </c:layout>
              <c:dLblPos val="bestFit"/>
              <c:showVal val="1"/>
              <c:showCatName val="1"/>
            </c:dLbl>
            <c:showVal val="1"/>
            <c:showCatName val="1"/>
            <c:showLeaderLines val="1"/>
          </c:dLbls>
          <c:cat>
            <c:strRef>
              <c:f>Лист1!$A$2:$A$5</c:f>
              <c:strCache>
                <c:ptCount val="4"/>
                <c:pt idx="0">
                  <c:v>Местный бюджет</c:v>
                </c:pt>
                <c:pt idx="1">
                  <c:v>Федеральный бюджет</c:v>
                </c:pt>
                <c:pt idx="2">
                  <c:v>Краевой бюджет</c:v>
                </c:pt>
                <c:pt idx="3">
                  <c:v>Государственные внебюджетные фонды</c:v>
                </c:pt>
              </c:strCache>
            </c:strRef>
          </c:cat>
          <c:val>
            <c:numRef>
              <c:f>Лист1!$B$2:$B$5</c:f>
              <c:numCache>
                <c:formatCode>0.0%</c:formatCode>
                <c:ptCount val="4"/>
                <c:pt idx="0">
                  <c:v>0.24600000000000041</c:v>
                </c:pt>
                <c:pt idx="1">
                  <c:v>0.15600000000000044</c:v>
                </c:pt>
                <c:pt idx="2">
                  <c:v>0.59599999999999997</c:v>
                </c:pt>
                <c:pt idx="3">
                  <c:v>2.0000000000000052E-3</c:v>
                </c:pt>
              </c:numCache>
            </c:numRef>
          </c:val>
        </c:ser>
      </c:pie3DChart>
      <c:spPr>
        <a:noFill/>
        <a:ln w="25399">
          <a:noFill/>
        </a:ln>
      </c:spPr>
    </c:plotArea>
    <c:plotVisOnly val="1"/>
    <c:dispBlanksAs val="zero"/>
  </c:chart>
  <c:spPr>
    <a:ln>
      <a:noFill/>
    </a:ln>
  </c:spPr>
  <c:txPr>
    <a:bodyPr/>
    <a:lstStyle/>
    <a:p>
      <a:pPr>
        <a:defRPr b="1">
          <a:latin typeface="Times New Roman" pitchFamily="18" charset="0"/>
          <a:cs typeface="Times New Roman" pitchFamily="18" charset="0"/>
        </a:defRPr>
      </a:pPr>
      <a:endParaRPr lang="ru-RU"/>
    </a:p>
  </c:txPr>
  <c:externalData r:id="rId1"/>
</c:chartSpace>
</file>

<file path=word/charts/chart25.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639129483814523"/>
          <c:y val="5.0925925925925923E-2"/>
          <c:w val="0.85305314960629919"/>
          <c:h val="0.73321376494604751"/>
        </c:manualLayout>
      </c:layout>
      <c:barChart>
        <c:barDir val="col"/>
        <c:grouping val="stacked"/>
        <c:ser>
          <c:idx val="0"/>
          <c:order val="0"/>
          <c:tx>
            <c:strRef>
              <c:f>ДФ!$A$110</c:f>
              <c:strCache>
                <c:ptCount val="1"/>
                <c:pt idx="0">
                  <c:v>образование</c:v>
                </c:pt>
              </c:strCache>
            </c:strRef>
          </c:tx>
          <c:spPr>
            <a:solidFill>
              <a:srgbClr val="0070C0"/>
            </a:solidFill>
            <a:ln>
              <a:noFill/>
            </a:ln>
            <a:effectLst/>
          </c:spPr>
          <c:dLbls>
            <c:spPr>
              <a:solidFill>
                <a:schemeClr val="accent6">
                  <a:lumMod val="20000"/>
                  <a:lumOff val="80000"/>
                </a:schemeClr>
              </a:solid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Val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ДФ!$B$109:$D$109</c:f>
              <c:numCache>
                <c:formatCode>General</c:formatCode>
                <c:ptCount val="3"/>
                <c:pt idx="0">
                  <c:v>2015</c:v>
                </c:pt>
                <c:pt idx="1">
                  <c:v>2016</c:v>
                </c:pt>
                <c:pt idx="2">
                  <c:v>2017</c:v>
                </c:pt>
              </c:numCache>
            </c:numRef>
          </c:cat>
          <c:val>
            <c:numRef>
              <c:f>ДФ!$B$110:$D$110</c:f>
              <c:numCache>
                <c:formatCode>0.0%</c:formatCode>
                <c:ptCount val="3"/>
                <c:pt idx="0">
                  <c:v>0.75705804740188776</c:v>
                </c:pt>
                <c:pt idx="1">
                  <c:v>0.78248358997087242</c:v>
                </c:pt>
                <c:pt idx="2">
                  <c:v>0.78941217983608303</c:v>
                </c:pt>
              </c:numCache>
            </c:numRef>
          </c:val>
        </c:ser>
        <c:ser>
          <c:idx val="1"/>
          <c:order val="1"/>
          <c:tx>
            <c:strRef>
              <c:f>ДФ!$A$111</c:f>
              <c:strCache>
                <c:ptCount val="1"/>
                <c:pt idx="0">
                  <c:v>культура, СМИ</c:v>
                </c:pt>
              </c:strCache>
            </c:strRef>
          </c:tx>
          <c:spPr>
            <a:solidFill>
              <a:srgbClr val="FF00FF"/>
            </a:solidFill>
            <a:ln>
              <a:noFill/>
            </a:ln>
            <a:effectLst/>
          </c:spPr>
          <c:dLbls>
            <c:dLbl>
              <c:idx val="0"/>
              <c:layout>
                <c:manualLayout>
                  <c:x val="-7.7777777777777779E-2"/>
                  <c:y val="6.9444444444444434E-2"/>
                </c:manualLayout>
              </c:layout>
              <c:showVal val="1"/>
              <c:extLst>
                <c:ext xmlns:c15="http://schemas.microsoft.com/office/drawing/2012/chart" uri="{CE6537A1-D6FC-4f65-9D91-7224C49458BB}">
                  <c15:layout/>
                </c:ext>
              </c:extLst>
            </c:dLbl>
            <c:dLbl>
              <c:idx val="1"/>
              <c:layout>
                <c:manualLayout>
                  <c:x val="-8.0555555555555755E-2"/>
                  <c:y val="8.3333333333333343E-2"/>
                </c:manualLayout>
              </c:layout>
              <c:showVal val="1"/>
              <c:extLst>
                <c:ext xmlns:c15="http://schemas.microsoft.com/office/drawing/2012/chart" uri="{CE6537A1-D6FC-4f65-9D91-7224C49458BB}">
                  <c15:layout/>
                </c:ext>
              </c:extLst>
            </c:dLbl>
            <c:dLbl>
              <c:idx val="2"/>
              <c:layout>
                <c:manualLayout>
                  <c:x val="-0.05"/>
                  <c:y val="6.4814814814814908E-2"/>
                </c:manualLayout>
              </c:layout>
              <c:showVal val="1"/>
              <c:extLst>
                <c:ext xmlns:c15="http://schemas.microsoft.com/office/drawing/2012/chart" uri="{CE6537A1-D6FC-4f65-9D91-7224C49458BB}">
                  <c15:layout/>
                </c:ext>
              </c:extLst>
            </c:dLbl>
            <c:spPr>
              <a:solidFill>
                <a:schemeClr val="accent6">
                  <a:lumMod val="20000"/>
                  <a:lumOff val="80000"/>
                </a:schemeClr>
              </a:solid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ДФ!$B$109:$D$109</c:f>
              <c:numCache>
                <c:formatCode>General</c:formatCode>
                <c:ptCount val="3"/>
                <c:pt idx="0">
                  <c:v>2015</c:v>
                </c:pt>
                <c:pt idx="1">
                  <c:v>2016</c:v>
                </c:pt>
                <c:pt idx="2">
                  <c:v>2017</c:v>
                </c:pt>
              </c:numCache>
            </c:numRef>
          </c:cat>
          <c:val>
            <c:numRef>
              <c:f>ДФ!$B$111:$D$111</c:f>
              <c:numCache>
                <c:formatCode>0.0%</c:formatCode>
                <c:ptCount val="3"/>
                <c:pt idx="0">
                  <c:v>2.6804555664543515E-2</c:v>
                </c:pt>
                <c:pt idx="1">
                  <c:v>2.6052742504516793E-2</c:v>
                </c:pt>
                <c:pt idx="2">
                  <c:v>2.8210282102821036E-2</c:v>
                </c:pt>
              </c:numCache>
            </c:numRef>
          </c:val>
        </c:ser>
        <c:ser>
          <c:idx val="2"/>
          <c:order val="2"/>
          <c:tx>
            <c:strRef>
              <c:f>ДФ!$A$112</c:f>
              <c:strCache>
                <c:ptCount val="1"/>
                <c:pt idx="0">
                  <c:v>здравоохранение и спорт</c:v>
                </c:pt>
              </c:strCache>
            </c:strRef>
          </c:tx>
          <c:spPr>
            <a:solidFill>
              <a:srgbClr val="FFFF00"/>
            </a:solidFill>
            <a:ln>
              <a:noFill/>
            </a:ln>
            <a:effectLst/>
          </c:spPr>
          <c:dLbls>
            <c:dLbl>
              <c:idx val="0"/>
              <c:layout>
                <c:manualLayout>
                  <c:x val="-0.11111111111111109"/>
                  <c:y val="-3.2407407407407454E-2"/>
                </c:manualLayout>
              </c:layout>
              <c:showVal val="1"/>
              <c:extLst>
                <c:ext xmlns:c15="http://schemas.microsoft.com/office/drawing/2012/chart" uri="{CE6537A1-D6FC-4f65-9D91-7224C49458BB}">
                  <c15:layout/>
                </c:ext>
              </c:extLst>
            </c:dLbl>
            <c:dLbl>
              <c:idx val="1"/>
              <c:layout>
                <c:manualLayout>
                  <c:x val="-6.666666666666668E-2"/>
                  <c:y val="-3.2407407407407454E-2"/>
                </c:manualLayout>
              </c:layout>
              <c:showVal val="1"/>
              <c:extLst>
                <c:ext xmlns:c15="http://schemas.microsoft.com/office/drawing/2012/chart" uri="{CE6537A1-D6FC-4f65-9D91-7224C49458BB}">
                  <c15:layout/>
                </c:ext>
              </c:extLst>
            </c:dLbl>
            <c:dLbl>
              <c:idx val="2"/>
              <c:layout>
                <c:manualLayout>
                  <c:x val="-6.3888888888888995E-2"/>
                  <c:y val="-6.0185185185185147E-2"/>
                </c:manualLayout>
              </c:layout>
              <c:showVal val="1"/>
              <c:extLst>
                <c:ext xmlns:c15="http://schemas.microsoft.com/office/drawing/2012/chart" uri="{CE6537A1-D6FC-4f65-9D91-7224C49458BB}">
                  <c15:layout/>
                </c:ext>
              </c:extLst>
            </c:dLbl>
            <c:spPr>
              <a:solidFill>
                <a:schemeClr val="accent6">
                  <a:lumMod val="20000"/>
                  <a:lumOff val="80000"/>
                </a:schemeClr>
              </a:solid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ДФ!$B$109:$D$109</c:f>
              <c:numCache>
                <c:formatCode>General</c:formatCode>
                <c:ptCount val="3"/>
                <c:pt idx="0">
                  <c:v>2015</c:v>
                </c:pt>
                <c:pt idx="1">
                  <c:v>2016</c:v>
                </c:pt>
                <c:pt idx="2">
                  <c:v>2017</c:v>
                </c:pt>
              </c:numCache>
            </c:numRef>
          </c:cat>
          <c:val>
            <c:numRef>
              <c:f>ДФ!$B$112:$D$112</c:f>
              <c:numCache>
                <c:formatCode>0.0%</c:formatCode>
                <c:ptCount val="3"/>
                <c:pt idx="0">
                  <c:v>3.408978971187878E-2</c:v>
                </c:pt>
                <c:pt idx="1">
                  <c:v>4.0010246526549524E-3</c:v>
                </c:pt>
                <c:pt idx="2">
                  <c:v>4.1700417004170032E-3</c:v>
                </c:pt>
              </c:numCache>
            </c:numRef>
          </c:val>
        </c:ser>
        <c:ser>
          <c:idx val="3"/>
          <c:order val="3"/>
          <c:tx>
            <c:strRef>
              <c:f>ДФ!$A$113</c:f>
              <c:strCache>
                <c:ptCount val="1"/>
                <c:pt idx="0">
                  <c:v>социальная политика</c:v>
                </c:pt>
              </c:strCache>
            </c:strRef>
          </c:tx>
          <c:spPr>
            <a:solidFill>
              <a:srgbClr val="00B050"/>
            </a:solidFill>
            <a:ln>
              <a:noFill/>
            </a:ln>
            <a:effectLst/>
          </c:spPr>
          <c:dLbls>
            <c:dLbl>
              <c:idx val="0"/>
              <c:layout>
                <c:manualLayout>
                  <c:x val="-5.5555555555555483E-2"/>
                  <c:y val="-0.11574074074074084"/>
                </c:manualLayout>
              </c:layout>
              <c:spPr>
                <a:solidFill>
                  <a:schemeClr val="accent6">
                    <a:lumMod val="20000"/>
                    <a:lumOff val="80000"/>
                  </a:schemeClr>
                </a:solid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Val val="1"/>
              <c:extLst>
                <c:ext xmlns:c15="http://schemas.microsoft.com/office/drawing/2012/chart" uri="{CE6537A1-D6FC-4f65-9D91-7224C49458BB}">
                  <c15:layout/>
                </c:ext>
              </c:extLst>
            </c:dLbl>
            <c:dLbl>
              <c:idx val="1"/>
              <c:layout>
                <c:manualLayout>
                  <c:x val="2.4999999999999949E-2"/>
                  <c:y val="-9.7222222222222238E-2"/>
                </c:manualLayout>
              </c:layout>
              <c:spPr>
                <a:solidFill>
                  <a:schemeClr val="accent6">
                    <a:lumMod val="20000"/>
                    <a:lumOff val="80000"/>
                  </a:schemeClr>
                </a:solid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Val val="1"/>
              <c:extLst>
                <c:ext xmlns:c15="http://schemas.microsoft.com/office/drawing/2012/chart" uri="{CE6537A1-D6FC-4f65-9D91-7224C49458BB}">
                  <c15:layout/>
                </c:ext>
              </c:extLst>
            </c:dLbl>
            <c:dLbl>
              <c:idx val="2"/>
              <c:layout>
                <c:manualLayout>
                  <c:x val="0.12500000000000011"/>
                  <c:y val="-8.796296296296309E-2"/>
                </c:manualLayout>
              </c:layout>
              <c:spPr>
                <a:solidFill>
                  <a:schemeClr val="accent6">
                    <a:lumMod val="20000"/>
                    <a:lumOff val="80000"/>
                  </a:schemeClr>
                </a:solid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Val val="1"/>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ДФ!$B$109:$D$109</c:f>
              <c:numCache>
                <c:formatCode>General</c:formatCode>
                <c:ptCount val="3"/>
                <c:pt idx="0">
                  <c:v>2015</c:v>
                </c:pt>
                <c:pt idx="1">
                  <c:v>2016</c:v>
                </c:pt>
                <c:pt idx="2">
                  <c:v>2017</c:v>
                </c:pt>
              </c:numCache>
            </c:numRef>
          </c:cat>
          <c:val>
            <c:numRef>
              <c:f>ДФ!$B$113:$D$113</c:f>
              <c:numCache>
                <c:formatCode>0.0%</c:formatCode>
                <c:ptCount val="3"/>
                <c:pt idx="0">
                  <c:v>0.18204760722169136</c:v>
                </c:pt>
                <c:pt idx="1">
                  <c:v>0.18746264287195527</c:v>
                </c:pt>
                <c:pt idx="2">
                  <c:v>0.17820749636067806</c:v>
                </c:pt>
              </c:numCache>
            </c:numRef>
          </c:val>
        </c:ser>
        <c:gapWidth val="30"/>
        <c:overlap val="100"/>
        <c:axId val="194606592"/>
        <c:axId val="194608128"/>
      </c:barChart>
      <c:catAx>
        <c:axId val="194606592"/>
        <c:scaling>
          <c:orientation val="minMax"/>
        </c:scaling>
        <c:axPos val="b"/>
        <c:numFmt formatCode="General" sourceLinked="1"/>
        <c:majorTickMark val="none"/>
        <c:tickLblPos val="nextTo"/>
        <c:spPr>
          <a:noFill/>
          <a:ln>
            <a:noFill/>
          </a:ln>
          <a:effectLst/>
        </c:spPr>
        <c:txPr>
          <a:bodyPr rot="-60000000" spcFirstLastPara="1" vertOverflow="ellipsis" vert="horz" wrap="square" anchor="ctr" anchorCtr="1"/>
          <a:lstStyle/>
          <a:p>
            <a:pPr>
              <a:defRPr sz="12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94608128"/>
        <c:crosses val="autoZero"/>
        <c:auto val="1"/>
        <c:lblAlgn val="ctr"/>
        <c:lblOffset val="100"/>
      </c:catAx>
      <c:valAx>
        <c:axId val="194608128"/>
        <c:scaling>
          <c:orientation val="minMax"/>
          <c:max val="1"/>
        </c:scaling>
        <c:axPos val="l"/>
        <c:majorGridlines>
          <c:spPr>
            <a:ln w="9525" cap="flat" cmpd="sng" algn="ctr">
              <a:solidFill>
                <a:schemeClr val="tx1">
                  <a:lumMod val="15000"/>
                  <a:lumOff val="85000"/>
                </a:schemeClr>
              </a:solidFill>
              <a:round/>
            </a:ln>
            <a:effectLst/>
          </c:spPr>
        </c:majorGridlines>
        <c:numFmt formatCode="0%" sourceLinked="0"/>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94606592"/>
        <c:crosses val="autoZero"/>
        <c:crossBetween val="between"/>
      </c:valAx>
      <c:spPr>
        <a:noFill/>
        <a:ln>
          <a:noFill/>
        </a:ln>
        <a:effectLst/>
      </c:spPr>
    </c:plotArea>
    <c:legend>
      <c:legendPos val="b"/>
      <c:layout>
        <c:manualLayout>
          <c:xMode val="edge"/>
          <c:yMode val="edge"/>
          <c:x val="5.2649825021872265E-2"/>
          <c:y val="0.86957419313411577"/>
          <c:w val="0.94470034995625485"/>
          <c:h val="0.11488043161271495"/>
        </c:manualLayout>
      </c:layout>
      <c:spPr>
        <a:noFill/>
        <a:ln>
          <a:noFill/>
        </a:ln>
        <a:effectLst/>
      </c:spPr>
      <c:txPr>
        <a:bodyPr rot="0" spcFirstLastPara="1" vertOverflow="ellipsis" vert="horz" wrap="square" anchor="ctr" anchorCtr="1"/>
        <a:lstStyle/>
        <a:p>
          <a:pPr>
            <a:defRPr sz="12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chart>
  <c:spPr>
    <a:solidFill>
      <a:sysClr val="window" lastClr="FFFFFF"/>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2"/>
</c:chartSpace>
</file>

<file path=word/charts/chart26.xml><?xml version="1.0" encoding="utf-8"?>
<c:chartSpace xmlns:c="http://schemas.openxmlformats.org/drawingml/2006/chart" xmlns:a="http://schemas.openxmlformats.org/drawingml/2006/main" xmlns:r="http://schemas.openxmlformats.org/officeDocument/2006/relationships">
  <c:date1904 val="1"/>
  <c:lang val="ru-RU"/>
  <c:style val="34"/>
  <c:chart>
    <c:autoTitleDeleted val="1"/>
    <c:view3D>
      <c:rAngAx val="1"/>
    </c:view3D>
    <c:plotArea>
      <c:layout/>
      <c:bar3DChart>
        <c:barDir val="col"/>
        <c:grouping val="clustered"/>
        <c:ser>
          <c:idx val="0"/>
          <c:order val="0"/>
          <c:tx>
            <c:strRef>
              <c:f>Лист1!$B$1</c:f>
              <c:strCache>
                <c:ptCount val="1"/>
                <c:pt idx="0">
                  <c:v>Ряд 1</c:v>
                </c:pt>
              </c:strCache>
            </c:strRef>
          </c:tx>
          <c:dLbls>
            <c:dLbl>
              <c:idx val="3"/>
              <c:layout>
                <c:manualLayout>
                  <c:x val="3.4504004929143559E-2"/>
                  <c:y val="-2.2130013831258639E-2"/>
                </c:manualLayout>
              </c:layout>
              <c:showVal val="1"/>
            </c:dLbl>
            <c:dLbl>
              <c:idx val="4"/>
              <c:layout>
                <c:manualLayout>
                  <c:x val="4.9291435613062233E-3"/>
                  <c:y val="-4.979253112033271E-2"/>
                </c:manualLayout>
              </c:layout>
              <c:showVal val="1"/>
            </c:dLbl>
            <c:dLbl>
              <c:idx val="5"/>
              <c:layout>
                <c:manualLayout>
                  <c:x val="9.8582871226124465E-3"/>
                  <c:y val="-2.2130013831258639E-2"/>
                </c:manualLayout>
              </c:layout>
              <c:showVal val="1"/>
            </c:dLbl>
            <c:spPr>
              <a:noFill/>
              <a:ln>
                <a:noFill/>
              </a:ln>
              <a:effectLst/>
            </c:spPr>
            <c:txPr>
              <a:bodyPr/>
              <a:lstStyle/>
              <a:p>
                <a:pPr>
                  <a:defRPr b="1">
                    <a:solidFill>
                      <a:sysClr val="windowText" lastClr="000000"/>
                    </a:solidFill>
                    <a:latin typeface="Times New Roman" pitchFamily="18" charset="0"/>
                    <a:cs typeface="Times New Roman" pitchFamily="18" charset="0"/>
                  </a:defRPr>
                </a:pPr>
                <a:endParaRPr lang="ru-RU"/>
              </a:p>
            </c:txPr>
            <c:showVal val="1"/>
            <c:extLst>
              <c:ext xmlns:c15="http://schemas.microsoft.com/office/drawing/2012/chart" uri="{CE6537A1-D6FC-4f65-9D91-7224C49458BB}">
                <c15:layout/>
                <c15:showLeaderLines val="0"/>
              </c:ext>
            </c:extLst>
          </c:dLbls>
          <c:cat>
            <c:strRef>
              <c:f>Лист1!$A$2:$A$7</c:f>
              <c:strCache>
                <c:ptCount val="6"/>
                <c:pt idx="0">
                  <c:v>2009</c:v>
                </c:pt>
                <c:pt idx="1">
                  <c:v>2010</c:v>
                </c:pt>
                <c:pt idx="2">
                  <c:v>2011</c:v>
                </c:pt>
                <c:pt idx="3">
                  <c:v>2012</c:v>
                </c:pt>
                <c:pt idx="4">
                  <c:v>2013</c:v>
                </c:pt>
                <c:pt idx="5">
                  <c:v>2014 (оценка)</c:v>
                </c:pt>
              </c:strCache>
            </c:strRef>
          </c:cat>
          <c:val>
            <c:numRef>
              <c:f>Лист1!$B$2:$B$7</c:f>
              <c:numCache>
                <c:formatCode>0.0</c:formatCode>
                <c:ptCount val="6"/>
                <c:pt idx="0">
                  <c:v>15.097300000000001</c:v>
                </c:pt>
                <c:pt idx="1">
                  <c:v>47.616</c:v>
                </c:pt>
                <c:pt idx="2">
                  <c:v>46.093000000000011</c:v>
                </c:pt>
                <c:pt idx="3">
                  <c:v>40.621000000000002</c:v>
                </c:pt>
                <c:pt idx="4">
                  <c:v>35.624000000000002</c:v>
                </c:pt>
                <c:pt idx="5">
                  <c:v>10.437000000000001</c:v>
                </c:pt>
              </c:numCache>
            </c:numRef>
          </c:val>
        </c:ser>
        <c:shape val="box"/>
        <c:axId val="194390656"/>
        <c:axId val="194400640"/>
        <c:axId val="0"/>
      </c:bar3DChart>
      <c:catAx>
        <c:axId val="194390656"/>
        <c:scaling>
          <c:orientation val="minMax"/>
        </c:scaling>
        <c:axPos val="b"/>
        <c:numFmt formatCode="General" sourceLinked="1"/>
        <c:tickLblPos val="nextTo"/>
        <c:crossAx val="194400640"/>
        <c:crosses val="autoZero"/>
        <c:auto val="1"/>
        <c:lblAlgn val="ctr"/>
        <c:lblOffset val="100"/>
      </c:catAx>
      <c:valAx>
        <c:axId val="194400640"/>
        <c:scaling>
          <c:orientation val="minMax"/>
        </c:scaling>
        <c:axPos val="l"/>
        <c:majorGridlines/>
        <c:numFmt formatCode="General" sourceLinked="0"/>
        <c:tickLblPos val="nextTo"/>
        <c:txPr>
          <a:bodyPr/>
          <a:lstStyle/>
          <a:p>
            <a:pPr>
              <a:defRPr>
                <a:solidFill>
                  <a:sysClr val="windowText" lastClr="000000"/>
                </a:solidFill>
              </a:defRPr>
            </a:pPr>
            <a:endParaRPr lang="ru-RU"/>
          </a:p>
        </c:txPr>
        <c:crossAx val="194390656"/>
        <c:crosses val="autoZero"/>
        <c:crossBetween val="between"/>
      </c:valAx>
    </c:plotArea>
    <c:plotVisOnly val="1"/>
    <c:dispBlanksAs val="gap"/>
  </c:chart>
  <c:spPr>
    <a:ln>
      <a:noFill/>
    </a:ln>
  </c:spPr>
  <c:externalData r:id="rId1"/>
</c:chartSpace>
</file>

<file path=word/charts/chart27.xml><?xml version="1.0" encoding="utf-8"?>
<c:chartSpace xmlns:c="http://schemas.openxmlformats.org/drawingml/2006/chart" xmlns:a="http://schemas.openxmlformats.org/drawingml/2006/main" xmlns:r="http://schemas.openxmlformats.org/officeDocument/2006/relationships">
  <c:date1904 val="1"/>
  <c:lang val="ru-RU"/>
  <c:style val="34"/>
  <c:chart>
    <c:autoTitleDeleted val="1"/>
    <c:view3D>
      <c:rAngAx val="1"/>
    </c:view3D>
    <c:plotArea>
      <c:layout/>
      <c:bar3DChart>
        <c:barDir val="col"/>
        <c:grouping val="clustered"/>
        <c:ser>
          <c:idx val="0"/>
          <c:order val="0"/>
          <c:tx>
            <c:strRef>
              <c:f>Лист1!$B$1</c:f>
              <c:strCache>
                <c:ptCount val="1"/>
                <c:pt idx="0">
                  <c:v>Ряд 1</c:v>
                </c:pt>
              </c:strCache>
            </c:strRef>
          </c:tx>
          <c:dLbls>
            <c:numFmt formatCode="#,##0.0" sourceLinked="0"/>
            <c:spPr>
              <a:noFill/>
              <a:ln>
                <a:noFill/>
              </a:ln>
              <a:effectLst/>
            </c:spPr>
            <c:txPr>
              <a:bodyPr/>
              <a:lstStyle/>
              <a:p>
                <a:pPr>
                  <a:defRPr>
                    <a:solidFill>
                      <a:sysClr val="windowText" lastClr="000000"/>
                    </a:solidFill>
                  </a:defRPr>
                </a:pPr>
                <a:endParaRPr lang="ru-RU"/>
              </a:p>
            </c:txPr>
            <c:showVal val="1"/>
            <c:extLst>
              <c:ext xmlns:c15="http://schemas.microsoft.com/office/drawing/2012/chart" uri="{CE6537A1-D6FC-4f65-9D91-7224C49458BB}">
                <c15:layout/>
                <c15:showLeaderLines val="0"/>
              </c:ext>
            </c:extLst>
          </c:dLbls>
          <c:cat>
            <c:strRef>
              <c:f>Лист1!$A$2:$A$7</c:f>
              <c:strCache>
                <c:ptCount val="6"/>
                <c:pt idx="0">
                  <c:v>2009</c:v>
                </c:pt>
                <c:pt idx="1">
                  <c:v>2010</c:v>
                </c:pt>
                <c:pt idx="2">
                  <c:v>2011</c:v>
                </c:pt>
                <c:pt idx="3">
                  <c:v>2012</c:v>
                </c:pt>
                <c:pt idx="4">
                  <c:v>2013</c:v>
                </c:pt>
                <c:pt idx="5">
                  <c:v>2014 (оценка)</c:v>
                </c:pt>
              </c:strCache>
            </c:strRef>
          </c:cat>
          <c:val>
            <c:numRef>
              <c:f>Лист1!$B$2:$B$7</c:f>
              <c:numCache>
                <c:formatCode>General</c:formatCode>
                <c:ptCount val="6"/>
                <c:pt idx="0">
                  <c:v>30.033999999999999</c:v>
                </c:pt>
                <c:pt idx="1">
                  <c:v>20.004000000000001</c:v>
                </c:pt>
                <c:pt idx="2">
                  <c:v>25.893999999999988</c:v>
                </c:pt>
                <c:pt idx="3">
                  <c:v>11.298</c:v>
                </c:pt>
                <c:pt idx="4">
                  <c:v>8.7270000000000003</c:v>
                </c:pt>
                <c:pt idx="5">
                  <c:v>27.536000000000001</c:v>
                </c:pt>
              </c:numCache>
            </c:numRef>
          </c:val>
        </c:ser>
        <c:shape val="box"/>
        <c:axId val="194425216"/>
        <c:axId val="194426752"/>
        <c:axId val="0"/>
      </c:bar3DChart>
      <c:catAx>
        <c:axId val="194425216"/>
        <c:scaling>
          <c:orientation val="minMax"/>
        </c:scaling>
        <c:axPos val="b"/>
        <c:numFmt formatCode="General" sourceLinked="1"/>
        <c:tickLblPos val="nextTo"/>
        <c:crossAx val="194426752"/>
        <c:crosses val="autoZero"/>
        <c:auto val="1"/>
        <c:lblAlgn val="ctr"/>
        <c:lblOffset val="100"/>
      </c:catAx>
      <c:valAx>
        <c:axId val="194426752"/>
        <c:scaling>
          <c:orientation val="minMax"/>
        </c:scaling>
        <c:axPos val="l"/>
        <c:majorGridlines/>
        <c:numFmt formatCode="General" sourceLinked="1"/>
        <c:tickLblPos val="nextTo"/>
        <c:crossAx val="194425216"/>
        <c:crosses val="autoZero"/>
        <c:crossBetween val="between"/>
      </c:valAx>
    </c:plotArea>
    <c:plotVisOnly val="1"/>
    <c:dispBlanksAs val="gap"/>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28.xml><?xml version="1.0" encoding="utf-8"?>
<c:chartSpace xmlns:c="http://schemas.openxmlformats.org/drawingml/2006/chart" xmlns:a="http://schemas.openxmlformats.org/drawingml/2006/main" xmlns:r="http://schemas.openxmlformats.org/officeDocument/2006/relationships">
  <c:date1904 val="1"/>
  <c:lang val="ru-RU"/>
  <c:roundedCorners val="1"/>
  <c:style val="10"/>
  <c:chart>
    <c:title>
      <c:tx>
        <c:rich>
          <a:bodyPr/>
          <a:lstStyle/>
          <a:p>
            <a:pPr>
              <a:defRPr sz="1100">
                <a:latin typeface="Times New Roman" pitchFamily="18" charset="0"/>
                <a:cs typeface="Times New Roman" pitchFamily="18" charset="0"/>
              </a:defRPr>
            </a:pPr>
            <a:r>
              <a:rPr lang="ru-RU" sz="1100"/>
              <a:t>2012</a:t>
            </a:r>
          </a:p>
        </c:rich>
      </c:tx>
      <c:layout/>
      <c:overlay val="1"/>
    </c:title>
    <c:view3D>
      <c:rotX val="30"/>
      <c:rotY val="10"/>
      <c:rAngAx val="1"/>
    </c:view3D>
    <c:plotArea>
      <c:layout>
        <c:manualLayout>
          <c:layoutTarget val="inner"/>
          <c:xMode val="edge"/>
          <c:yMode val="edge"/>
          <c:x val="4.4066841644794394E-2"/>
          <c:y val="3.6603652391552319E-2"/>
          <c:w val="0.90691456454972419"/>
          <c:h val="0.91178184422623754"/>
        </c:manualLayout>
      </c:layout>
      <c:pie3DChart>
        <c:varyColors val="1"/>
        <c:ser>
          <c:idx val="0"/>
          <c:order val="0"/>
          <c:tx>
            <c:strRef>
              <c:f>Лист1!$B$1</c:f>
              <c:strCache>
                <c:ptCount val="1"/>
                <c:pt idx="0">
                  <c:v>2012</c:v>
                </c:pt>
              </c:strCache>
            </c:strRef>
          </c:tx>
          <c:explosion val="25"/>
          <c:dLbls>
            <c:dLbl>
              <c:idx val="0"/>
              <c:layout/>
              <c:dLblPos val="outEnd"/>
              <c:showVal val="1"/>
            </c:dLbl>
            <c:dLbl>
              <c:idx val="1"/>
              <c:layout/>
              <c:dLblPos val="ctr"/>
              <c:showVal val="1"/>
            </c:dLbl>
            <c:delete val="1"/>
            <c:txPr>
              <a:bodyPr/>
              <a:lstStyle/>
              <a:p>
                <a:pPr>
                  <a:defRPr b="1">
                    <a:latin typeface="Times New Roman" pitchFamily="18" charset="0"/>
                    <a:cs typeface="Times New Roman" pitchFamily="18" charset="0"/>
                  </a:defRPr>
                </a:pPr>
                <a:endParaRPr lang="ru-RU"/>
              </a:p>
            </c:txPr>
          </c:dLbls>
          <c:cat>
            <c:strRef>
              <c:f>Лист1!$A$2:$A$3</c:f>
              <c:strCache>
                <c:ptCount val="2"/>
                <c:pt idx="0">
                  <c:v>Хозяйства населения</c:v>
                </c:pt>
                <c:pt idx="1">
                  <c:v>Все категории хозяйств </c:v>
                </c:pt>
              </c:strCache>
            </c:strRef>
          </c:cat>
          <c:val>
            <c:numRef>
              <c:f>Лист1!$B$2:$B$3</c:f>
              <c:numCache>
                <c:formatCode>General</c:formatCode>
                <c:ptCount val="2"/>
                <c:pt idx="0">
                  <c:v>64</c:v>
                </c:pt>
                <c:pt idx="1">
                  <c:v>1593</c:v>
                </c:pt>
              </c:numCache>
            </c:numRef>
          </c:val>
        </c:ser>
      </c:pie3DChart>
      <c:spPr>
        <a:noFill/>
      </c:spPr>
    </c:plotArea>
    <c:legend>
      <c:legendPos val="b"/>
      <c:layout/>
      <c:overlay val="1"/>
      <c:txPr>
        <a:bodyPr/>
        <a:lstStyle/>
        <a:p>
          <a:pPr>
            <a:defRPr sz="1100">
              <a:latin typeface="Times New Roman" pitchFamily="18" charset="0"/>
              <a:cs typeface="Times New Roman" pitchFamily="18" charset="0"/>
            </a:defRPr>
          </a:pPr>
          <a:endParaRPr lang="ru-RU"/>
        </a:p>
      </c:txPr>
    </c:legend>
    <c:plotVisOnly val="1"/>
    <c:dispBlanksAs val="zero"/>
    <c:showDLblsOverMax val="1"/>
  </c:chart>
  <c:spPr>
    <a:ln>
      <a:noFill/>
    </a:ln>
  </c:spPr>
  <c:externalData r:id="rId1">
    <c:autoUpdate val="1"/>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1"/>
  <c:lang val="ru-RU"/>
  <c:roundedCorners val="1"/>
  <c:style val="10"/>
  <c:chart>
    <c:title>
      <c:tx>
        <c:rich>
          <a:bodyPr/>
          <a:lstStyle/>
          <a:p>
            <a:pPr>
              <a:defRPr sz="1100">
                <a:latin typeface="Times New Roman" pitchFamily="18" charset="0"/>
                <a:cs typeface="Times New Roman" pitchFamily="18" charset="0"/>
              </a:defRPr>
            </a:pPr>
            <a:r>
              <a:rPr lang="ru-RU" sz="1100"/>
              <a:t>2013</a:t>
            </a:r>
          </a:p>
        </c:rich>
      </c:tx>
      <c:layout/>
      <c:overlay val="1"/>
    </c:title>
    <c:view3D>
      <c:rotX val="30"/>
      <c:rotY val="10"/>
      <c:rAngAx val="1"/>
    </c:view3D>
    <c:plotArea>
      <c:layout/>
      <c:pie3DChart>
        <c:varyColors val="1"/>
        <c:ser>
          <c:idx val="0"/>
          <c:order val="0"/>
          <c:tx>
            <c:strRef>
              <c:f>Лист1!$E$1</c:f>
              <c:strCache>
                <c:ptCount val="1"/>
                <c:pt idx="0">
                  <c:v>2013</c:v>
                </c:pt>
              </c:strCache>
            </c:strRef>
          </c:tx>
          <c:explosion val="25"/>
          <c:dLbls>
            <c:dLbl>
              <c:idx val="0"/>
              <c:layout>
                <c:manualLayout>
                  <c:x val="7.8531560604104808E-2"/>
                  <c:y val="3.6431775142031296E-2"/>
                </c:manualLayout>
              </c:layout>
              <c:dLblPos val="bestFit"/>
              <c:showVal val="1"/>
            </c:dLbl>
            <c:txPr>
              <a:bodyPr/>
              <a:lstStyle/>
              <a:p>
                <a:pPr>
                  <a:defRPr sz="1100" b="1">
                    <a:latin typeface="Times New Roman" pitchFamily="18" charset="0"/>
                    <a:cs typeface="Times New Roman" pitchFamily="18" charset="0"/>
                  </a:defRPr>
                </a:pPr>
                <a:endParaRPr lang="ru-RU"/>
              </a:p>
            </c:txPr>
            <c:dLblPos val="inEnd"/>
            <c:showVal val="1"/>
            <c:showLeaderLines val="1"/>
          </c:dLbls>
          <c:cat>
            <c:strRef>
              <c:f>Лист1!$D$2:$D$3</c:f>
              <c:strCache>
                <c:ptCount val="2"/>
                <c:pt idx="0">
                  <c:v>Хозяйства населения</c:v>
                </c:pt>
                <c:pt idx="1">
                  <c:v>Все категории хозяйств </c:v>
                </c:pt>
              </c:strCache>
            </c:strRef>
          </c:cat>
          <c:val>
            <c:numRef>
              <c:f>Лист1!$E$2:$E$3</c:f>
              <c:numCache>
                <c:formatCode>General</c:formatCode>
                <c:ptCount val="2"/>
                <c:pt idx="0">
                  <c:v>64</c:v>
                </c:pt>
                <c:pt idx="1">
                  <c:v>1742</c:v>
                </c:pt>
              </c:numCache>
            </c:numRef>
          </c:val>
        </c:ser>
      </c:pie3DChart>
    </c:plotArea>
    <c:legend>
      <c:legendPos val="b"/>
      <c:layout/>
      <c:overlay val="1"/>
      <c:txPr>
        <a:bodyPr/>
        <a:lstStyle/>
        <a:p>
          <a:pPr>
            <a:defRPr sz="1100">
              <a:latin typeface="Times New Roman" pitchFamily="18" charset="0"/>
              <a:cs typeface="Times New Roman" pitchFamily="18" charset="0"/>
            </a:defRPr>
          </a:pPr>
          <a:endParaRPr lang="ru-RU"/>
        </a:p>
      </c:txPr>
    </c:legend>
    <c:plotVisOnly val="1"/>
    <c:dispBlanksAs val="zero"/>
    <c:showDLblsOverMax val="1"/>
  </c:chart>
  <c:spPr>
    <a:ln>
      <a:noFill/>
    </a:ln>
  </c:spPr>
  <c:externalData r:id="rId1">
    <c:autoUpdate val="1"/>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style val="5"/>
  <c:chart>
    <c:autoTitleDeleted val="1"/>
    <c:plotArea>
      <c:layout/>
      <c:barChart>
        <c:barDir val="col"/>
        <c:grouping val="clustered"/>
        <c:ser>
          <c:idx val="0"/>
          <c:order val="0"/>
          <c:tx>
            <c:strRef>
              <c:f>Лист2!$B$49</c:f>
              <c:strCache>
                <c:ptCount val="1"/>
                <c:pt idx="0">
                  <c:v>Отгружено продукции собственного производства, млн рублей</c:v>
                </c:pt>
              </c:strCache>
            </c:strRef>
          </c:tx>
          <c:spPr>
            <a:solidFill>
              <a:schemeClr val="accent3">
                <a:lumMod val="75000"/>
              </a:schemeClr>
            </a:solidFill>
            <a:ln w="19050">
              <a:solidFill>
                <a:schemeClr val="accent3">
                  <a:lumMod val="75000"/>
                </a:schemeClr>
              </a:solidFill>
            </a:ln>
          </c:spPr>
          <c:dPt>
            <c:idx val="5"/>
            <c:spPr>
              <a:gradFill flip="none" rotWithShape="1">
                <a:gsLst>
                  <a:gs pos="0">
                    <a:srgbClr val="9BBB59">
                      <a:lumMod val="75000"/>
                      <a:tint val="66000"/>
                      <a:satMod val="160000"/>
                    </a:srgbClr>
                  </a:gs>
                  <a:gs pos="50000">
                    <a:srgbClr val="9BBB59">
                      <a:lumMod val="75000"/>
                      <a:tint val="44500"/>
                      <a:satMod val="160000"/>
                    </a:srgbClr>
                  </a:gs>
                  <a:gs pos="100000">
                    <a:srgbClr val="9BBB59">
                      <a:lumMod val="75000"/>
                      <a:tint val="23500"/>
                      <a:satMod val="160000"/>
                    </a:srgbClr>
                  </a:gs>
                </a:gsLst>
                <a:lin ang="2700000" scaled="1"/>
                <a:tileRect/>
              </a:gradFill>
              <a:ln w="19050">
                <a:solidFill>
                  <a:schemeClr val="accent3">
                    <a:lumMod val="75000"/>
                  </a:schemeClr>
                </a:solidFill>
              </a:ln>
            </c:spPr>
          </c:dPt>
          <c:dPt>
            <c:idx val="6"/>
            <c:spPr>
              <a:gradFill flip="none" rotWithShape="1">
                <a:gsLst>
                  <a:gs pos="0">
                    <a:srgbClr val="9BBB59">
                      <a:lumMod val="75000"/>
                      <a:tint val="66000"/>
                      <a:satMod val="160000"/>
                    </a:srgbClr>
                  </a:gs>
                  <a:gs pos="50000">
                    <a:srgbClr val="9BBB59">
                      <a:lumMod val="75000"/>
                      <a:tint val="44500"/>
                      <a:satMod val="160000"/>
                    </a:srgbClr>
                  </a:gs>
                  <a:gs pos="100000">
                    <a:srgbClr val="9BBB59">
                      <a:lumMod val="75000"/>
                      <a:tint val="23500"/>
                      <a:satMod val="160000"/>
                    </a:srgbClr>
                  </a:gs>
                </a:gsLst>
                <a:lin ang="2700000" scaled="1"/>
                <a:tileRect/>
              </a:gradFill>
              <a:ln w="19050">
                <a:solidFill>
                  <a:schemeClr val="accent3">
                    <a:lumMod val="75000"/>
                  </a:schemeClr>
                </a:solidFill>
              </a:ln>
            </c:spPr>
          </c:dPt>
          <c:dLbls>
            <c:txPr>
              <a:bodyPr/>
              <a:lstStyle/>
              <a:p>
                <a:pPr>
                  <a:defRPr b="1"/>
                </a:pPr>
                <a:endParaRPr lang="ru-RU"/>
              </a:p>
            </c:txPr>
            <c:dLblPos val="outEnd"/>
            <c:showVal val="1"/>
          </c:dLbls>
          <c:cat>
            <c:strRef>
              <c:f>Лист2!$C$48:$I$48</c:f>
              <c:strCache>
                <c:ptCount val="7"/>
                <c:pt idx="0">
                  <c:v>2011 год   факт</c:v>
                </c:pt>
                <c:pt idx="1">
                  <c:v>2012 год   факт</c:v>
                </c:pt>
                <c:pt idx="2">
                  <c:v>2013 год  факт</c:v>
                </c:pt>
                <c:pt idx="3">
                  <c:v>2014 год  оценка</c:v>
                </c:pt>
                <c:pt idx="4">
                  <c:v> 2015 прогноз   вар. 1 </c:v>
                </c:pt>
                <c:pt idx="5">
                  <c:v> 2016 прогноз   вар. 1 </c:v>
                </c:pt>
                <c:pt idx="6">
                  <c:v> 2017 прогноз   вар. 1 </c:v>
                </c:pt>
              </c:strCache>
            </c:strRef>
          </c:cat>
          <c:val>
            <c:numRef>
              <c:f>Лист2!$C$49:$I$49</c:f>
              <c:numCache>
                <c:formatCode>#,##0.0</c:formatCode>
                <c:ptCount val="7"/>
                <c:pt idx="0">
                  <c:v>23904.590526935848</c:v>
                </c:pt>
                <c:pt idx="1">
                  <c:v>25026.895514191794</c:v>
                </c:pt>
                <c:pt idx="2">
                  <c:v>24863.804596184717</c:v>
                </c:pt>
                <c:pt idx="3">
                  <c:v>25961.243203451126</c:v>
                </c:pt>
                <c:pt idx="4">
                  <c:v>27212.400000000001</c:v>
                </c:pt>
                <c:pt idx="5">
                  <c:v>28700.38</c:v>
                </c:pt>
                <c:pt idx="6">
                  <c:v>30314.22</c:v>
                </c:pt>
              </c:numCache>
            </c:numRef>
          </c:val>
        </c:ser>
        <c:gapWidth val="75"/>
        <c:overlap val="-25"/>
        <c:axId val="186315520"/>
        <c:axId val="186317056"/>
      </c:barChart>
      <c:lineChart>
        <c:grouping val="standard"/>
        <c:ser>
          <c:idx val="1"/>
          <c:order val="1"/>
          <c:tx>
            <c:strRef>
              <c:f>Лист2!$B$50</c:f>
              <c:strCache>
                <c:ptCount val="1"/>
                <c:pt idx="0">
                  <c:v>Темп роста,%</c:v>
                </c:pt>
              </c:strCache>
            </c:strRef>
          </c:tx>
          <c:spPr>
            <a:ln>
              <a:solidFill>
                <a:srgbClr val="990099"/>
              </a:solidFill>
            </a:ln>
          </c:spPr>
          <c:marker>
            <c:spPr>
              <a:solidFill>
                <a:srgbClr val="990099"/>
              </a:solidFill>
              <a:ln>
                <a:solidFill>
                  <a:srgbClr val="990099"/>
                </a:solidFill>
              </a:ln>
            </c:spPr>
          </c:marker>
          <c:dPt>
            <c:idx val="5"/>
            <c:marker>
              <c:spPr>
                <a:solidFill>
                  <a:srgbClr val="990099"/>
                </a:solidFill>
                <a:ln>
                  <a:solidFill>
                    <a:srgbClr val="990099"/>
                  </a:solidFill>
                  <a:prstDash val="sysDash"/>
                </a:ln>
              </c:spPr>
            </c:marker>
            <c:spPr>
              <a:ln>
                <a:solidFill>
                  <a:srgbClr val="990099"/>
                </a:solidFill>
                <a:prstDash val="sysDash"/>
              </a:ln>
            </c:spPr>
          </c:dPt>
          <c:dPt>
            <c:idx val="6"/>
            <c:marker>
              <c:spPr>
                <a:solidFill>
                  <a:srgbClr val="990099"/>
                </a:solidFill>
                <a:ln>
                  <a:solidFill>
                    <a:srgbClr val="990099"/>
                  </a:solidFill>
                  <a:prstDash val="sysDash"/>
                </a:ln>
              </c:spPr>
            </c:marker>
            <c:spPr>
              <a:ln>
                <a:solidFill>
                  <a:srgbClr val="990099"/>
                </a:solidFill>
                <a:prstDash val="sysDash"/>
              </a:ln>
            </c:spPr>
          </c:dPt>
          <c:dLbls>
            <c:dLbl>
              <c:idx val="0"/>
              <c:layout>
                <c:manualLayout>
                  <c:x val="-4.456999372253647E-2"/>
                  <c:y val="-4.7453703703703713E-2"/>
                </c:manualLayout>
              </c:layout>
              <c:dLblPos val="r"/>
              <c:showVal val="1"/>
            </c:dLbl>
            <c:txPr>
              <a:bodyPr/>
              <a:lstStyle/>
              <a:p>
                <a:pPr>
                  <a:defRPr b="1"/>
                </a:pPr>
                <a:endParaRPr lang="ru-RU"/>
              </a:p>
            </c:txPr>
            <c:dLblPos val="b"/>
            <c:showVal val="1"/>
          </c:dLbls>
          <c:cat>
            <c:strRef>
              <c:f>Лист2!$C$48:$I$48</c:f>
              <c:strCache>
                <c:ptCount val="7"/>
                <c:pt idx="0">
                  <c:v>2011 год   факт</c:v>
                </c:pt>
                <c:pt idx="1">
                  <c:v>2012 год   факт</c:v>
                </c:pt>
                <c:pt idx="2">
                  <c:v>2013 год  факт</c:v>
                </c:pt>
                <c:pt idx="3">
                  <c:v>2014 год  оценка</c:v>
                </c:pt>
                <c:pt idx="4">
                  <c:v> 2015 прогноз   вар. 1 </c:v>
                </c:pt>
                <c:pt idx="5">
                  <c:v> 2016 прогноз   вар. 1 </c:v>
                </c:pt>
                <c:pt idx="6">
                  <c:v> 2017 прогноз   вар. 1 </c:v>
                </c:pt>
              </c:strCache>
            </c:strRef>
          </c:cat>
          <c:val>
            <c:numRef>
              <c:f>Лист2!$C$50:$I$50</c:f>
              <c:numCache>
                <c:formatCode>0.0</c:formatCode>
                <c:ptCount val="7"/>
                <c:pt idx="0">
                  <c:v>110.0083319999997</c:v>
                </c:pt>
                <c:pt idx="1">
                  <c:v>104.694935</c:v>
                </c:pt>
                <c:pt idx="2">
                  <c:v>99.348337399999508</c:v>
                </c:pt>
                <c:pt idx="3">
                  <c:v>104.41379999999999</c:v>
                </c:pt>
                <c:pt idx="4">
                  <c:v>104.81932543346954</c:v>
                </c:pt>
                <c:pt idx="5">
                  <c:v>105.46802193117871</c:v>
                </c:pt>
                <c:pt idx="6">
                  <c:v>105.62306143681721</c:v>
                </c:pt>
              </c:numCache>
            </c:numRef>
          </c:val>
        </c:ser>
        <c:marker val="1"/>
        <c:axId val="187442688"/>
        <c:axId val="187441152"/>
      </c:lineChart>
      <c:catAx>
        <c:axId val="186315520"/>
        <c:scaling>
          <c:orientation val="minMax"/>
        </c:scaling>
        <c:axPos val="b"/>
        <c:majorTickMark val="none"/>
        <c:tickLblPos val="nextTo"/>
        <c:crossAx val="186317056"/>
        <c:crosses val="autoZero"/>
        <c:auto val="1"/>
        <c:lblAlgn val="ctr"/>
        <c:lblOffset val="100"/>
      </c:catAx>
      <c:valAx>
        <c:axId val="186317056"/>
        <c:scaling>
          <c:orientation val="minMax"/>
        </c:scaling>
        <c:axPos val="l"/>
        <c:majorGridlines/>
        <c:numFmt formatCode="#,##0" sourceLinked="0"/>
        <c:majorTickMark val="none"/>
        <c:tickLblPos val="nextTo"/>
        <c:crossAx val="186315520"/>
        <c:crosses val="autoZero"/>
        <c:crossBetween val="between"/>
      </c:valAx>
      <c:valAx>
        <c:axId val="187441152"/>
        <c:scaling>
          <c:orientation val="minMax"/>
        </c:scaling>
        <c:axPos val="r"/>
        <c:numFmt formatCode="0" sourceLinked="0"/>
        <c:tickLblPos val="nextTo"/>
        <c:txPr>
          <a:bodyPr/>
          <a:lstStyle/>
          <a:p>
            <a:pPr>
              <a:defRPr>
                <a:solidFill>
                  <a:sysClr val="windowText" lastClr="000000"/>
                </a:solidFill>
              </a:defRPr>
            </a:pPr>
            <a:endParaRPr lang="ru-RU"/>
          </a:p>
        </c:txPr>
        <c:crossAx val="187442688"/>
        <c:crosses val="max"/>
        <c:crossBetween val="between"/>
      </c:valAx>
      <c:catAx>
        <c:axId val="187442688"/>
        <c:scaling>
          <c:orientation val="minMax"/>
        </c:scaling>
        <c:delete val="1"/>
        <c:axPos val="b"/>
        <c:tickLblPos val="none"/>
        <c:crossAx val="187441152"/>
        <c:crosses val="autoZero"/>
        <c:auto val="1"/>
        <c:lblAlgn val="ctr"/>
        <c:lblOffset val="100"/>
      </c:catAx>
    </c:plotArea>
    <c:legend>
      <c:legendPos val="b"/>
      <c:layout/>
    </c:legend>
    <c:plotVisOnly val="1"/>
    <c:dispBlanksAs val="gap"/>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30.xml><?xml version="1.0" encoding="utf-8"?>
<c:chartSpace xmlns:c="http://schemas.openxmlformats.org/drawingml/2006/chart" xmlns:a="http://schemas.openxmlformats.org/drawingml/2006/main" xmlns:r="http://schemas.openxmlformats.org/officeDocument/2006/relationships">
  <c:lang val="ru-RU"/>
  <c:style val="10"/>
  <c:clrMapOvr bg1="lt1" tx1="dk1" bg2="lt2" tx2="dk2" accent1="accent1" accent2="accent2" accent3="accent3" accent4="accent4" accent5="accent5" accent6="accent6" hlink="hlink" folHlink="folHlink"/>
  <c:chart>
    <c:view3D>
      <c:depthPercent val="100"/>
      <c:perspective val="30"/>
    </c:view3D>
    <c:sideWall>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sideWall>
    <c:backWall>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backWall>
    <c:plotArea>
      <c:layout/>
      <c:bar3DChart>
        <c:barDir val="col"/>
        <c:grouping val="standard"/>
        <c:ser>
          <c:idx val="0"/>
          <c:order val="0"/>
          <c:tx>
            <c:strRef>
              <c:f>Лист1!$B$1</c:f>
              <c:strCache>
                <c:ptCount val="1"/>
                <c:pt idx="0">
                  <c:v>1 вариант</c:v>
                </c:pt>
              </c:strCache>
            </c:strRef>
          </c:tx>
          <c:dLbls>
            <c:dLbl>
              <c:idx val="0"/>
              <c:layout>
                <c:manualLayout>
                  <c:x val="-2.1942694850447698E-17"/>
                  <c:y val="0.14693877551020493"/>
                </c:manualLayout>
              </c:layout>
              <c:showVal val="1"/>
            </c:dLbl>
            <c:dLbl>
              <c:idx val="1"/>
              <c:layout>
                <c:manualLayout>
                  <c:x val="0"/>
                  <c:y val="0.22312925170068018"/>
                </c:manualLayout>
              </c:layout>
              <c:showVal val="1"/>
            </c:dLbl>
            <c:dLbl>
              <c:idx val="2"/>
              <c:layout>
                <c:manualLayout>
                  <c:x val="0"/>
                  <c:y val="0.30476190476190484"/>
                </c:manualLayout>
              </c:layout>
              <c:showVal val="1"/>
            </c:dLbl>
            <c:dLbl>
              <c:idx val="3"/>
              <c:layout>
                <c:manualLayout>
                  <c:x val="0"/>
                  <c:y val="0.41904761904762022"/>
                </c:manualLayout>
              </c:layout>
              <c:showVal val="1"/>
            </c:dLbl>
            <c:txPr>
              <a:bodyPr rot="-5400000" vert="horz" anchor="ctr" anchorCtr="0"/>
              <a:lstStyle/>
              <a:p>
                <a:pPr>
                  <a:defRPr/>
                </a:pPr>
                <a:endParaRPr lang="ru-RU"/>
              </a:p>
            </c:txPr>
            <c:showVal val="1"/>
          </c:dLbls>
          <c:cat>
            <c:numRef>
              <c:f>Лист1!$A$2:$A$5</c:f>
              <c:numCache>
                <c:formatCode>General</c:formatCode>
                <c:ptCount val="4"/>
                <c:pt idx="0">
                  <c:v>2014</c:v>
                </c:pt>
                <c:pt idx="1">
                  <c:v>2015</c:v>
                </c:pt>
                <c:pt idx="2">
                  <c:v>2016</c:v>
                </c:pt>
                <c:pt idx="3">
                  <c:v>2017</c:v>
                </c:pt>
              </c:numCache>
            </c:numRef>
          </c:cat>
          <c:val>
            <c:numRef>
              <c:f>Лист1!$B$2:$B$5</c:f>
              <c:numCache>
                <c:formatCode>General</c:formatCode>
                <c:ptCount val="4"/>
                <c:pt idx="0">
                  <c:v>164.98000000000027</c:v>
                </c:pt>
                <c:pt idx="1">
                  <c:v>174.06</c:v>
                </c:pt>
                <c:pt idx="2">
                  <c:v>183.69</c:v>
                </c:pt>
                <c:pt idx="3">
                  <c:v>192.34</c:v>
                </c:pt>
              </c:numCache>
            </c:numRef>
          </c:val>
        </c:ser>
        <c:ser>
          <c:idx val="1"/>
          <c:order val="1"/>
          <c:tx>
            <c:strRef>
              <c:f>Лист1!$C$1</c:f>
              <c:strCache>
                <c:ptCount val="1"/>
                <c:pt idx="0">
                  <c:v>2 вариант</c:v>
                </c:pt>
              </c:strCache>
            </c:strRef>
          </c:tx>
          <c:dLbls>
            <c:showVal val="1"/>
          </c:dLbls>
          <c:cat>
            <c:numRef>
              <c:f>Лист1!$A$2:$A$5</c:f>
              <c:numCache>
                <c:formatCode>General</c:formatCode>
                <c:ptCount val="4"/>
                <c:pt idx="0">
                  <c:v>2014</c:v>
                </c:pt>
                <c:pt idx="1">
                  <c:v>2015</c:v>
                </c:pt>
                <c:pt idx="2">
                  <c:v>2016</c:v>
                </c:pt>
                <c:pt idx="3">
                  <c:v>2017</c:v>
                </c:pt>
              </c:numCache>
            </c:numRef>
          </c:cat>
          <c:val>
            <c:numRef>
              <c:f>Лист1!$C$2:$C$5</c:f>
              <c:numCache>
                <c:formatCode>General</c:formatCode>
                <c:ptCount val="4"/>
                <c:pt idx="1">
                  <c:v>173.73999999999998</c:v>
                </c:pt>
                <c:pt idx="2">
                  <c:v>184.75</c:v>
                </c:pt>
                <c:pt idx="3">
                  <c:v>193.65</c:v>
                </c:pt>
              </c:numCache>
            </c:numRef>
          </c:val>
        </c:ser>
        <c:shape val="box"/>
        <c:axId val="194547072"/>
        <c:axId val="197543040"/>
        <c:axId val="195733696"/>
      </c:bar3DChart>
      <c:catAx>
        <c:axId val="194547072"/>
        <c:scaling>
          <c:orientation val="minMax"/>
        </c:scaling>
        <c:axPos val="b"/>
        <c:numFmt formatCode="General" sourceLinked="1"/>
        <c:tickLblPos val="nextTo"/>
        <c:crossAx val="197543040"/>
        <c:crosses val="autoZero"/>
        <c:auto val="1"/>
        <c:lblAlgn val="ctr"/>
        <c:lblOffset val="100"/>
      </c:catAx>
      <c:valAx>
        <c:axId val="197543040"/>
        <c:scaling>
          <c:orientation val="minMax"/>
        </c:scaling>
        <c:axPos val="l"/>
        <c:majorGridlines/>
        <c:numFmt formatCode="General" sourceLinked="1"/>
        <c:tickLblPos val="nextTo"/>
        <c:crossAx val="194547072"/>
        <c:crosses val="autoZero"/>
        <c:crossBetween val="between"/>
      </c:valAx>
      <c:serAx>
        <c:axId val="195733696"/>
        <c:scaling>
          <c:orientation val="minMax"/>
        </c:scaling>
        <c:axPos val="b"/>
        <c:numFmt formatCode="General" sourceLinked="1"/>
        <c:tickLblPos val="nextTo"/>
        <c:spPr>
          <a:ln w="3176">
            <a:solidFill>
              <a:srgbClr val="808080"/>
            </a:solidFill>
            <a:prstDash val="solid"/>
          </a:ln>
        </c:spPr>
        <c:txPr>
          <a:bodyPr rot="0" vert="horz"/>
          <a:lstStyle/>
          <a:p>
            <a:pPr>
              <a:defRPr sz="1000" b="0" i="0" u="none" strike="noStrike" baseline="0">
                <a:solidFill>
                  <a:srgbClr val="000000"/>
                </a:solidFill>
                <a:latin typeface="Calibri"/>
                <a:ea typeface="Calibri"/>
                <a:cs typeface="Calibri"/>
              </a:defRPr>
            </a:pPr>
            <a:endParaRPr lang="ru-RU"/>
          </a:p>
        </c:txPr>
        <c:crossAx val="197543040"/>
        <c:crosses val="autoZero"/>
        <c:tickLblSkip val="1"/>
        <c:tickMarkSkip val="1"/>
      </c:serAx>
      <c:spPr>
        <a:noFill/>
        <a:ln w="25411">
          <a:noFill/>
        </a:ln>
      </c:spPr>
    </c:plotArea>
    <c:legend>
      <c:legendPos val="r"/>
      <c:layout/>
    </c:legend>
    <c:plotVisOnly val="1"/>
    <c:dispBlanksAs val="gap"/>
  </c:chart>
  <c:externalData r:id="rId2"/>
</c:chartSpace>
</file>

<file path=word/charts/chart3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barChart>
        <c:barDir val="col"/>
        <c:grouping val="clustered"/>
        <c:ser>
          <c:idx val="0"/>
          <c:order val="0"/>
          <c:tx>
            <c:strRef>
              <c:f>Лист1!$E$7</c:f>
              <c:strCache>
                <c:ptCount val="1"/>
                <c:pt idx="0">
                  <c:v>число раненных в ДТП, человек</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cmpd="sng">
              <a:solidFill>
                <a:schemeClr val="accent3"/>
              </a:solidFill>
            </a:ln>
            <a:effectLst/>
          </c:spPr>
          <c:dLbls>
            <c:spPr>
              <a:noFill/>
              <a:ln>
                <a:noFill/>
              </a:ln>
              <a:effectLst/>
            </c:spPr>
            <c:txPr>
              <a:bodyPr rot="0" vert="horz"/>
              <a:lstStyle/>
              <a:p>
                <a:pPr>
                  <a:defRPr/>
                </a:pPr>
                <a:endParaRPr lang="ru-RU"/>
              </a:p>
            </c:txPr>
            <c:showVal val="1"/>
            <c:extLs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numRef>
              <c:f>Лист1!$F$6:$K$6</c:f>
              <c:numCache>
                <c:formatCode>General</c:formatCode>
                <c:ptCount val="6"/>
                <c:pt idx="0">
                  <c:v>2008</c:v>
                </c:pt>
                <c:pt idx="1">
                  <c:v>2009</c:v>
                </c:pt>
                <c:pt idx="2">
                  <c:v>2010</c:v>
                </c:pt>
                <c:pt idx="3">
                  <c:v>2011</c:v>
                </c:pt>
                <c:pt idx="4">
                  <c:v>2012</c:v>
                </c:pt>
                <c:pt idx="5">
                  <c:v>2013</c:v>
                </c:pt>
              </c:numCache>
            </c:numRef>
          </c:cat>
          <c:val>
            <c:numRef>
              <c:f>Лист1!$F$7:$K$7</c:f>
              <c:numCache>
                <c:formatCode>General</c:formatCode>
                <c:ptCount val="6"/>
                <c:pt idx="0">
                  <c:v>413</c:v>
                </c:pt>
                <c:pt idx="1">
                  <c:v>382</c:v>
                </c:pt>
                <c:pt idx="2">
                  <c:v>389</c:v>
                </c:pt>
                <c:pt idx="3">
                  <c:v>406</c:v>
                </c:pt>
                <c:pt idx="4">
                  <c:v>461</c:v>
                </c:pt>
                <c:pt idx="5">
                  <c:v>372</c:v>
                </c:pt>
              </c:numCache>
            </c:numRef>
          </c:val>
        </c:ser>
        <c:ser>
          <c:idx val="1"/>
          <c:order val="1"/>
          <c:tx>
            <c:strRef>
              <c:f>Лист1!$E$8</c:f>
              <c:strCache>
                <c:ptCount val="1"/>
                <c:pt idx="0">
                  <c:v>Число погибших в ДТП, человек</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Lbls>
            <c:spPr>
              <a:noFill/>
              <a:ln>
                <a:noFill/>
              </a:ln>
              <a:effectLst/>
            </c:spPr>
            <c:txPr>
              <a:bodyPr rot="0" vert="horz"/>
              <a:lstStyle/>
              <a:p>
                <a:pPr>
                  <a:defRPr/>
                </a:pPr>
                <a:endParaRPr lang="ru-RU"/>
              </a:p>
            </c:txPr>
            <c:showVal val="1"/>
            <c:extLs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numRef>
              <c:f>Лист1!$F$6:$K$6</c:f>
              <c:numCache>
                <c:formatCode>General</c:formatCode>
                <c:ptCount val="6"/>
                <c:pt idx="0">
                  <c:v>2008</c:v>
                </c:pt>
                <c:pt idx="1">
                  <c:v>2009</c:v>
                </c:pt>
                <c:pt idx="2">
                  <c:v>2010</c:v>
                </c:pt>
                <c:pt idx="3">
                  <c:v>2011</c:v>
                </c:pt>
                <c:pt idx="4">
                  <c:v>2012</c:v>
                </c:pt>
                <c:pt idx="5">
                  <c:v>2013</c:v>
                </c:pt>
              </c:numCache>
            </c:numRef>
          </c:cat>
          <c:val>
            <c:numRef>
              <c:f>Лист1!$F$8:$K$8</c:f>
              <c:numCache>
                <c:formatCode>General</c:formatCode>
                <c:ptCount val="6"/>
                <c:pt idx="0">
                  <c:v>30</c:v>
                </c:pt>
                <c:pt idx="1">
                  <c:v>10</c:v>
                </c:pt>
                <c:pt idx="2">
                  <c:v>21</c:v>
                </c:pt>
                <c:pt idx="3">
                  <c:v>19</c:v>
                </c:pt>
                <c:pt idx="4">
                  <c:v>33</c:v>
                </c:pt>
                <c:pt idx="5">
                  <c:v>17</c:v>
                </c:pt>
              </c:numCache>
            </c:numRef>
          </c:val>
        </c:ser>
        <c:gapWidth val="219"/>
        <c:axId val="196314624"/>
        <c:axId val="196316160"/>
      </c:barChart>
      <c:lineChart>
        <c:grouping val="standard"/>
        <c:ser>
          <c:idx val="2"/>
          <c:order val="2"/>
          <c:tx>
            <c:strRef>
              <c:f>Лист1!$E$9</c:f>
              <c:strCache>
                <c:ptCount val="1"/>
                <c:pt idx="0">
                  <c:v>Число ДТП, единиц</c:v>
                </c:pt>
              </c:strCache>
            </c:strRef>
          </c:tx>
          <c:spPr>
            <a:ln w="44450" cap="rnd">
              <a:solidFill>
                <a:schemeClr val="accent3"/>
              </a:solidFill>
              <a:round/>
            </a:ln>
            <a:effectLst/>
          </c:spPr>
          <c:marker>
            <c:symbol val="triangle"/>
            <c:size val="8"/>
            <c:spPr>
              <a:solidFill>
                <a:srgbClr val="C00000"/>
              </a:solidFill>
              <a:ln w="12700">
                <a:solidFill>
                  <a:srgbClr val="C00000"/>
                </a:solidFill>
                <a:round/>
              </a:ln>
              <a:effectLst/>
            </c:spPr>
          </c:marker>
          <c:dLbls>
            <c:spPr>
              <a:noFill/>
              <a:ln>
                <a:noFill/>
              </a:ln>
              <a:effectLst/>
            </c:spPr>
            <c:txPr>
              <a:bodyPr rot="0" vert="horz"/>
              <a:lstStyle/>
              <a:p>
                <a:pPr>
                  <a:defRPr/>
                </a:pPr>
                <a:endParaRPr lang="ru-RU"/>
              </a:p>
            </c:txPr>
            <c:showVal val="1"/>
            <c:extLs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numRef>
              <c:f>Лист1!$F$6:$K$6</c:f>
              <c:numCache>
                <c:formatCode>General</c:formatCode>
                <c:ptCount val="6"/>
                <c:pt idx="0">
                  <c:v>2008</c:v>
                </c:pt>
                <c:pt idx="1">
                  <c:v>2009</c:v>
                </c:pt>
                <c:pt idx="2">
                  <c:v>2010</c:v>
                </c:pt>
                <c:pt idx="3">
                  <c:v>2011</c:v>
                </c:pt>
                <c:pt idx="4">
                  <c:v>2012</c:v>
                </c:pt>
                <c:pt idx="5">
                  <c:v>2013</c:v>
                </c:pt>
              </c:numCache>
            </c:numRef>
          </c:cat>
          <c:val>
            <c:numRef>
              <c:f>Лист1!$F$9:$K$9</c:f>
              <c:numCache>
                <c:formatCode>General</c:formatCode>
                <c:ptCount val="6"/>
                <c:pt idx="0">
                  <c:v>335</c:v>
                </c:pt>
                <c:pt idx="1">
                  <c:v>310</c:v>
                </c:pt>
                <c:pt idx="2">
                  <c:v>307</c:v>
                </c:pt>
                <c:pt idx="3">
                  <c:v>338</c:v>
                </c:pt>
                <c:pt idx="4">
                  <c:v>352</c:v>
                </c:pt>
                <c:pt idx="5">
                  <c:v>312</c:v>
                </c:pt>
              </c:numCache>
            </c:numRef>
          </c:val>
        </c:ser>
        <c:marker val="1"/>
        <c:axId val="196335872"/>
        <c:axId val="196334336"/>
      </c:lineChart>
      <c:catAx>
        <c:axId val="196314624"/>
        <c:scaling>
          <c:orientation val="minMax"/>
        </c:scaling>
        <c:axPos val="b"/>
        <c:numFmt formatCode="General" sourceLinked="1"/>
        <c:majorTickMark val="none"/>
        <c:tickLblPos val="nextTo"/>
        <c:spPr>
          <a:noFill/>
          <a:ln w="9525" cap="flat" cmpd="sng" algn="ctr">
            <a:solidFill>
              <a:schemeClr val="accent1"/>
            </a:solidFill>
            <a:round/>
          </a:ln>
          <a:effectLst/>
        </c:spPr>
        <c:txPr>
          <a:bodyPr rot="-60000000" vert="horz"/>
          <a:lstStyle/>
          <a:p>
            <a:pPr>
              <a:defRPr/>
            </a:pPr>
            <a:endParaRPr lang="ru-RU"/>
          </a:p>
        </c:txPr>
        <c:crossAx val="196316160"/>
        <c:crosses val="autoZero"/>
        <c:auto val="1"/>
        <c:lblAlgn val="ctr"/>
        <c:lblOffset val="100"/>
      </c:catAx>
      <c:valAx>
        <c:axId val="196316160"/>
        <c:scaling>
          <c:orientation val="minMax"/>
        </c:scaling>
        <c:axPos val="l"/>
        <c:majorGridlines>
          <c:spPr>
            <a:ln w="9525" cap="flat" cmpd="sng" algn="ctr">
              <a:solidFill>
                <a:srgbClr val="1F497D">
                  <a:lumMod val="15000"/>
                  <a:lumOff val="85000"/>
                </a:srgbClr>
              </a:solidFill>
              <a:round/>
            </a:ln>
            <a:effectLst/>
          </c:spPr>
        </c:majorGridlines>
        <c:numFmt formatCode="General" sourceLinked="1"/>
        <c:majorTickMark val="none"/>
        <c:tickLblPos val="nextTo"/>
        <c:spPr>
          <a:noFill/>
          <a:ln>
            <a:solidFill>
              <a:schemeClr val="accent1"/>
            </a:solidFill>
          </a:ln>
          <a:effectLst/>
        </c:spPr>
        <c:txPr>
          <a:bodyPr rot="-60000000" vert="horz"/>
          <a:lstStyle/>
          <a:p>
            <a:pPr>
              <a:defRPr/>
            </a:pPr>
            <a:endParaRPr lang="ru-RU"/>
          </a:p>
        </c:txPr>
        <c:crossAx val="196314624"/>
        <c:crosses val="autoZero"/>
        <c:crossBetween val="between"/>
        <c:majorUnit val="100"/>
      </c:valAx>
      <c:valAx>
        <c:axId val="196334336"/>
        <c:scaling>
          <c:orientation val="minMax"/>
          <c:max val="400"/>
          <c:min val="200"/>
        </c:scaling>
        <c:axPos val="r"/>
        <c:numFmt formatCode="General" sourceLinked="1"/>
        <c:majorTickMark val="none"/>
        <c:tickLblPos val="nextTo"/>
        <c:spPr>
          <a:noFill/>
          <a:ln>
            <a:noFill/>
          </a:ln>
          <a:effectLst/>
        </c:spPr>
        <c:txPr>
          <a:bodyPr rot="-60000000" vert="horz"/>
          <a:lstStyle/>
          <a:p>
            <a:pPr>
              <a:defRPr/>
            </a:pPr>
            <a:endParaRPr lang="ru-RU"/>
          </a:p>
        </c:txPr>
        <c:crossAx val="196335872"/>
        <c:crosses val="max"/>
        <c:crossBetween val="between"/>
        <c:majorUnit val="100"/>
      </c:valAx>
      <c:catAx>
        <c:axId val="196335872"/>
        <c:scaling>
          <c:orientation val="minMax"/>
        </c:scaling>
        <c:delete val="1"/>
        <c:axPos val="b"/>
        <c:numFmt formatCode="General" sourceLinked="1"/>
        <c:majorTickMark val="none"/>
        <c:tickLblPos val="none"/>
        <c:crossAx val="196334336"/>
        <c:crosses val="autoZero"/>
        <c:auto val="1"/>
        <c:lblAlgn val="ctr"/>
        <c:lblOffset val="100"/>
      </c:catAx>
      <c:spPr>
        <a:noFill/>
        <a:ln>
          <a:noFill/>
        </a:ln>
        <a:effectLst/>
      </c:spPr>
    </c:plotArea>
    <c:legend>
      <c:legendPos val="b"/>
      <c:layout/>
      <c:spPr>
        <a:noFill/>
        <a:ln>
          <a:noFill/>
        </a:ln>
        <a:effectLst/>
      </c:spPr>
      <c:txPr>
        <a:bodyPr rot="0" vert="horz"/>
        <a:lstStyle/>
        <a:p>
          <a:pPr>
            <a:defRPr/>
          </a:pPr>
          <a:endParaRPr lang="ru-RU"/>
        </a:p>
      </c:txPr>
    </c:legend>
    <c:plotVisOnly val="1"/>
    <c:dispBlanksAs val="gap"/>
  </c:chart>
  <c:spPr>
    <a:solidFill>
      <a:schemeClr val="bg1"/>
    </a:solidFill>
    <a:ln w="9525" cap="flat" cmpd="sng" algn="ctr">
      <a:noFill/>
      <a:round/>
    </a:ln>
    <a:effectLst/>
  </c:spPr>
  <c:txPr>
    <a:bodyPr/>
    <a:lstStyle/>
    <a:p>
      <a:pPr>
        <a:defRPr>
          <a:solidFill>
            <a:sysClr val="windowText" lastClr="000000"/>
          </a:solidFill>
          <a:latin typeface="Times New Roman" pitchFamily="18" charset="0"/>
          <a:cs typeface="Times New Roman" pitchFamily="18" charset="0"/>
        </a:defRPr>
      </a:pPr>
      <a:endParaRPr lang="ru-RU"/>
    </a:p>
  </c:txPr>
  <c:externalData r:id="rId2"/>
</c:chartSpace>
</file>

<file path=word/charts/chart3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lineChart>
        <c:grouping val="standard"/>
        <c:ser>
          <c:idx val="0"/>
          <c:order val="0"/>
          <c:spPr>
            <a:ln w="38100" cap="rnd">
              <a:solidFill>
                <a:schemeClr val="accent2">
                  <a:lumMod val="50000"/>
                </a:schemeClr>
              </a:solidFill>
              <a:round/>
            </a:ln>
            <a:effectLst/>
          </c:spPr>
          <c:marker>
            <c:symbol val="none"/>
          </c:marker>
          <c:dLbls>
            <c:dLbl>
              <c:idx val="0"/>
              <c:layout>
                <c:manualLayout>
                  <c:x val="-5.8055555555555367E-2"/>
                  <c:y val="-5.5555555555555455E-2"/>
                </c:manualLayout>
              </c:layout>
              <c:dLblPos val="r"/>
              <c:showVal val="1"/>
              <c:extLst>
                <c:ext xmlns:c15="http://schemas.microsoft.com/office/drawing/2012/chart" uri="{CE6537A1-D6FC-4f65-9D91-7224C49458BB}">
                  <c15:layout/>
                </c:ext>
              </c:extLst>
            </c:dLbl>
            <c:dLbl>
              <c:idx val="1"/>
              <c:layout>
                <c:manualLayout>
                  <c:x val="-5.5277777777777766E-2"/>
                  <c:y val="-3.7037037037037229E-2"/>
                </c:manualLayout>
              </c:layout>
              <c:dLblPos val="r"/>
              <c:showVal val="1"/>
              <c:extLst>
                <c:ext xmlns:c15="http://schemas.microsoft.com/office/drawing/2012/chart" uri="{CE6537A1-D6FC-4f65-9D91-7224C49458BB}">
                  <c15:layout/>
                </c:ext>
              </c:extLst>
            </c:dLbl>
            <c:dLbl>
              <c:idx val="2"/>
              <c:layout>
                <c:manualLayout>
                  <c:x val="-5.5277777777777766E-2"/>
                  <c:y val="-4.6296296296296523E-2"/>
                </c:manualLayout>
              </c:layout>
              <c:dLblPos val="r"/>
              <c:showVal val="1"/>
              <c:extLst>
                <c:ext xmlns:c15="http://schemas.microsoft.com/office/drawing/2012/chart" uri="{CE6537A1-D6FC-4f65-9D91-7224C49458BB}">
                  <c15:layout/>
                </c:ext>
              </c:extLst>
            </c:dLbl>
            <c:dLbl>
              <c:idx val="3"/>
              <c:layout>
                <c:manualLayout>
                  <c:x val="-5.5277777777777766E-2"/>
                  <c:y val="-7.8703703703703803E-2"/>
                </c:manualLayout>
              </c:layout>
              <c:dLblPos val="r"/>
              <c:showVal val="1"/>
              <c:extLst>
                <c:ext xmlns:c15="http://schemas.microsoft.com/office/drawing/2012/chart" uri="{CE6537A1-D6FC-4f65-9D91-7224C49458BB}">
                  <c15:layout/>
                </c:ext>
              </c:extLst>
            </c:dLbl>
            <c:dLbl>
              <c:idx val="4"/>
              <c:layout>
                <c:manualLayout>
                  <c:x val="-5.8055555555555367E-2"/>
                  <c:y val="-7.407407407407407E-2"/>
                </c:manualLayout>
              </c:layout>
              <c:dLblPos val="r"/>
              <c:showVal val="1"/>
              <c:extLst>
                <c:ext xmlns:c15="http://schemas.microsoft.com/office/drawing/2012/chart" uri="{CE6537A1-D6FC-4f65-9D91-7224C49458BB}">
                  <c15:layout/>
                </c:ext>
              </c:extLst>
            </c:dLbl>
            <c:dLbl>
              <c:idx val="5"/>
              <c:layout>
                <c:manualLayout>
                  <c:x val="-5.5277777777777766E-2"/>
                  <c:y val="-0.11574074074074113"/>
                </c:manualLayout>
              </c:layout>
              <c:dLblPos val="r"/>
              <c:showVal val="1"/>
              <c:extLst>
                <c:ext xmlns:c15="http://schemas.microsoft.com/office/drawing/2012/chart" uri="{CE6537A1-D6FC-4f65-9D91-7224C49458BB}">
                  <c15:layout/>
                </c:ext>
              </c:extLst>
            </c:dLbl>
            <c:dLbl>
              <c:idx val="6"/>
              <c:layout>
                <c:manualLayout>
                  <c:x val="-5.0840332458442723E-2"/>
                  <c:y val="-8.3333333333333343E-2"/>
                </c:manualLayout>
              </c:layout>
              <c:dLblPos val="r"/>
              <c:showVal val="1"/>
              <c:extLst>
                <c:ext xmlns:c15="http://schemas.microsoft.com/office/drawing/2012/chart" uri="{CE6537A1-D6FC-4f65-9D91-7224C49458BB}">
                  <c15:layout/>
                </c:ext>
              </c:extLst>
            </c:dLbl>
            <c:dLbl>
              <c:idx val="7"/>
              <c:layout>
                <c:manualLayout>
                  <c:x val="-5.5277777777777766E-2"/>
                  <c:y val="-8.3333333333333467E-2"/>
                </c:manualLayout>
              </c:layout>
              <c:dLblPos val="r"/>
              <c:showVal val="1"/>
              <c:extLst>
                <c:ext xmlns:c15="http://schemas.microsoft.com/office/drawing/2012/chart" uri="{CE6537A1-D6FC-4f65-9D91-7224C49458BB}">
                  <c15:layout/>
                </c:ext>
              </c:extLst>
            </c:dLbl>
            <c:dLbl>
              <c:idx val="8"/>
              <c:layout>
                <c:manualLayout>
                  <c:x val="-5.8055555555555367E-2"/>
                  <c:y val="-8.796296296296352E-2"/>
                </c:manualLayout>
              </c:layout>
              <c:dLblPos val="r"/>
              <c:showVal val="1"/>
              <c:extLst>
                <c:ext xmlns:c15="http://schemas.microsoft.com/office/drawing/2012/chart" uri="{CE6537A1-D6FC-4f65-9D91-7224C49458BB}">
                  <c15:layout/>
                </c:ext>
              </c:extLst>
            </c:dLbl>
            <c:dLbl>
              <c:idx val="9"/>
              <c:layout>
                <c:manualLayout>
                  <c:x val="-3.3798775153105864E-2"/>
                  <c:y val="-7.8703703703703901E-2"/>
                </c:manualLayout>
              </c:layout>
              <c:dLblPos val="r"/>
              <c:showVal val="1"/>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itchFamily="18" charset="0"/>
                    <a:ea typeface="+mn-ea"/>
                    <a:cs typeface="Times New Roman" pitchFamily="18" charset="0"/>
                  </a:defRPr>
                </a:pPr>
                <a:endParaRPr lang="ru-RU"/>
              </a:p>
            </c:txPr>
            <c:dLblPos val="ctr"/>
            <c:showVal val="1"/>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Лист1!$D$7:$M$7</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Лист1!$D$8:$M$8</c:f>
              <c:numCache>
                <c:formatCode>General</c:formatCode>
                <c:ptCount val="10"/>
                <c:pt idx="0">
                  <c:v>65257</c:v>
                </c:pt>
                <c:pt idx="1">
                  <c:v>63756</c:v>
                </c:pt>
                <c:pt idx="2">
                  <c:v>61097</c:v>
                </c:pt>
                <c:pt idx="3">
                  <c:v>57033</c:v>
                </c:pt>
                <c:pt idx="4">
                  <c:v>54575</c:v>
                </c:pt>
                <c:pt idx="5">
                  <c:v>49321</c:v>
                </c:pt>
                <c:pt idx="6" formatCode="0">
                  <c:v>47377.8</c:v>
                </c:pt>
                <c:pt idx="7" formatCode="0">
                  <c:v>44198.171428571142</c:v>
                </c:pt>
                <c:pt idx="8" formatCode="0">
                  <c:v>41018.542857143053</c:v>
                </c:pt>
                <c:pt idx="9" formatCode="0">
                  <c:v>37838.914285714302</c:v>
                </c:pt>
              </c:numCache>
            </c:numRef>
          </c:val>
        </c:ser>
        <c:dLbls>
          <c:showVal val="1"/>
        </c:dLbls>
        <c:marker val="1"/>
        <c:axId val="196434176"/>
        <c:axId val="196440064"/>
      </c:lineChart>
      <c:catAx>
        <c:axId val="196434176"/>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ru-RU"/>
          </a:p>
        </c:txPr>
        <c:crossAx val="196440064"/>
        <c:crosses val="autoZero"/>
        <c:auto val="1"/>
        <c:lblAlgn val="ctr"/>
        <c:lblOffset val="100"/>
      </c:catAx>
      <c:valAx>
        <c:axId val="196440064"/>
        <c:scaling>
          <c:orientation val="minMax"/>
          <c:min val="35000"/>
        </c:scaling>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96434176"/>
        <c:crosses val="autoZero"/>
        <c:crossBetween val="between"/>
      </c:valAx>
      <c:spPr>
        <a:noFill/>
        <a:ln>
          <a:noFill/>
        </a:ln>
        <a:effectLst/>
      </c:spPr>
    </c:plotArea>
    <c:plotVisOnly val="1"/>
    <c:dispBlanksAs val="gap"/>
  </c:chart>
  <c:spPr>
    <a:solidFill>
      <a:schemeClr val="accent3">
        <a:lumMod val="60000"/>
        <a:lumOff val="40000"/>
      </a:schemeClr>
    </a:solidFill>
    <a:ln w="9525" cap="flat" cmpd="sng" algn="ctr">
      <a:solidFill>
        <a:schemeClr val="tx1">
          <a:lumMod val="15000"/>
          <a:lumOff val="85000"/>
        </a:schemeClr>
      </a:solidFill>
      <a:round/>
    </a:ln>
    <a:effectLst/>
  </c:spPr>
  <c:txPr>
    <a:bodyPr/>
    <a:lstStyle/>
    <a:p>
      <a:pPr>
        <a:defRPr/>
      </a:pPr>
      <a:endParaRPr lang="ru-RU"/>
    </a:p>
  </c:tx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style val="4"/>
  <c:chart>
    <c:autoTitleDeleted val="1"/>
    <c:plotArea>
      <c:layout>
        <c:manualLayout>
          <c:layoutTarget val="inner"/>
          <c:xMode val="edge"/>
          <c:yMode val="edge"/>
          <c:x val="9.3978821612815663E-2"/>
          <c:y val="0.11158573928259002"/>
          <c:w val="0.82889275047515665"/>
          <c:h val="0.57117198891805199"/>
        </c:manualLayout>
      </c:layout>
      <c:barChart>
        <c:barDir val="col"/>
        <c:grouping val="clustered"/>
        <c:ser>
          <c:idx val="0"/>
          <c:order val="0"/>
          <c:tx>
            <c:strRef>
              <c:f>Лист2!$B$72</c:f>
              <c:strCache>
                <c:ptCount val="1"/>
                <c:pt idx="0">
                  <c:v>Отгружено продукции собственного производства, млн рублей</c:v>
                </c:pt>
              </c:strCache>
            </c:strRef>
          </c:tx>
          <c:spPr>
            <a:solidFill>
              <a:schemeClr val="tx2">
                <a:lumMod val="40000"/>
                <a:lumOff val="60000"/>
              </a:schemeClr>
            </a:solidFill>
          </c:spPr>
          <c:dPt>
            <c:idx val="5"/>
            <c:spPr>
              <a:blipFill>
                <a:blip xmlns:r="http://schemas.openxmlformats.org/officeDocument/2006/relationships" r:embed="rId1"/>
                <a:tile tx="0" ty="0" sx="100000" sy="100000" flip="none" algn="tl"/>
              </a:blipFill>
              <a:ln w="19050">
                <a:solidFill>
                  <a:srgbClr val="0066CC"/>
                </a:solidFill>
              </a:ln>
            </c:spPr>
          </c:dPt>
          <c:dPt>
            <c:idx val="6"/>
            <c:spPr>
              <a:blipFill>
                <a:blip xmlns:r="http://schemas.openxmlformats.org/officeDocument/2006/relationships" r:embed="rId1"/>
                <a:tile tx="0" ty="0" sx="100000" sy="100000" flip="none" algn="tl"/>
              </a:blipFill>
              <a:ln w="19050">
                <a:solidFill>
                  <a:srgbClr val="0066CC"/>
                </a:solidFill>
              </a:ln>
            </c:spPr>
          </c:dPt>
          <c:dPt>
            <c:idx val="7"/>
            <c:spPr>
              <a:blipFill>
                <a:blip xmlns:r="http://schemas.openxmlformats.org/officeDocument/2006/relationships" r:embed="rId1"/>
                <a:tile tx="0" ty="0" sx="100000" sy="100000" flip="none" algn="tl"/>
              </a:blipFill>
              <a:ln w="19050">
                <a:solidFill>
                  <a:srgbClr val="0066CC"/>
                </a:solidFill>
              </a:ln>
            </c:spPr>
          </c:dPt>
          <c:dLbls>
            <c:dLbl>
              <c:idx val="5"/>
              <c:layout>
                <c:manualLayout>
                  <c:x val="1.4598540145985401E-2"/>
                  <c:y val="0.29890602216389844"/>
                </c:manualLayout>
              </c:layout>
              <c:dLblPos val="outEnd"/>
              <c:showVal val="1"/>
            </c:dLbl>
            <c:txPr>
              <a:bodyPr/>
              <a:lstStyle/>
              <a:p>
                <a:pPr>
                  <a:defRPr sz="900" b="1">
                    <a:latin typeface="Times New Roman" pitchFamily="18" charset="0"/>
                    <a:cs typeface="Times New Roman" pitchFamily="18" charset="0"/>
                  </a:defRPr>
                </a:pPr>
                <a:endParaRPr lang="ru-RU"/>
              </a:p>
            </c:txPr>
            <c:dLblPos val="ctr"/>
            <c:showVal val="1"/>
          </c:dLbls>
          <c:cat>
            <c:strRef>
              <c:f>Лист2!$C$71:$J$71</c:f>
              <c:strCache>
                <c:ptCount val="8"/>
                <c:pt idx="0">
                  <c:v>2010 год  факт</c:v>
                </c:pt>
                <c:pt idx="1">
                  <c:v>2011 год   факт</c:v>
                </c:pt>
                <c:pt idx="2">
                  <c:v>2012 год   факт</c:v>
                </c:pt>
                <c:pt idx="3">
                  <c:v>2013 год  факт</c:v>
                </c:pt>
                <c:pt idx="4">
                  <c:v>2014 год  оценка</c:v>
                </c:pt>
                <c:pt idx="5">
                  <c:v> 2015 год  прогноз </c:v>
                </c:pt>
                <c:pt idx="6">
                  <c:v>2016  год  прогноз  </c:v>
                </c:pt>
                <c:pt idx="7">
                  <c:v>2017 год  прогноз </c:v>
                </c:pt>
              </c:strCache>
            </c:strRef>
          </c:cat>
          <c:val>
            <c:numRef>
              <c:f>Лист2!$C$72:$J$72</c:f>
              <c:numCache>
                <c:formatCode>#,##0.0</c:formatCode>
                <c:ptCount val="8"/>
                <c:pt idx="0">
                  <c:v>8863</c:v>
                </c:pt>
                <c:pt idx="1">
                  <c:v>9340.8830334399318</c:v>
                </c:pt>
                <c:pt idx="2">
                  <c:v>8609.1855109581411</c:v>
                </c:pt>
                <c:pt idx="3">
                  <c:v>8714.5</c:v>
                </c:pt>
                <c:pt idx="4">
                  <c:v>8810.4466449999891</c:v>
                </c:pt>
                <c:pt idx="5">
                  <c:v>9004.2800000000007</c:v>
                </c:pt>
                <c:pt idx="6">
                  <c:v>9238.7999999999811</c:v>
                </c:pt>
                <c:pt idx="7">
                  <c:v>9517.7999999999811</c:v>
                </c:pt>
              </c:numCache>
            </c:numRef>
          </c:val>
        </c:ser>
        <c:gapWidth val="75"/>
        <c:overlap val="-25"/>
        <c:axId val="187481088"/>
        <c:axId val="187564800"/>
      </c:barChart>
      <c:lineChart>
        <c:grouping val="standard"/>
        <c:ser>
          <c:idx val="1"/>
          <c:order val="1"/>
          <c:tx>
            <c:strRef>
              <c:f>Лист2!$B$73</c:f>
              <c:strCache>
                <c:ptCount val="1"/>
                <c:pt idx="0">
                  <c:v>Темп роста,%</c:v>
                </c:pt>
              </c:strCache>
            </c:strRef>
          </c:tx>
          <c:spPr>
            <a:ln>
              <a:solidFill>
                <a:schemeClr val="accent2">
                  <a:lumMod val="75000"/>
                </a:schemeClr>
              </a:solidFill>
            </a:ln>
          </c:spPr>
          <c:marker>
            <c:spPr>
              <a:solidFill>
                <a:srgbClr val="C00000"/>
              </a:solidFill>
              <a:ln>
                <a:solidFill>
                  <a:schemeClr val="accent2">
                    <a:lumMod val="75000"/>
                  </a:schemeClr>
                </a:solidFill>
              </a:ln>
            </c:spPr>
          </c:marker>
          <c:dPt>
            <c:idx val="5"/>
            <c:marker>
              <c:spPr>
                <a:solidFill>
                  <a:srgbClr val="C00000"/>
                </a:solidFill>
                <a:ln w="38100">
                  <a:solidFill>
                    <a:schemeClr val="accent2">
                      <a:lumMod val="75000"/>
                    </a:schemeClr>
                  </a:solidFill>
                  <a:prstDash val="sysDash"/>
                </a:ln>
              </c:spPr>
            </c:marker>
            <c:spPr>
              <a:ln w="38100">
                <a:solidFill>
                  <a:schemeClr val="accent2">
                    <a:lumMod val="75000"/>
                  </a:schemeClr>
                </a:solidFill>
                <a:prstDash val="sysDash"/>
              </a:ln>
            </c:spPr>
          </c:dPt>
          <c:dPt>
            <c:idx val="6"/>
            <c:marker>
              <c:spPr>
                <a:solidFill>
                  <a:srgbClr val="C00000"/>
                </a:solidFill>
                <a:ln>
                  <a:solidFill>
                    <a:schemeClr val="accent2">
                      <a:lumMod val="75000"/>
                    </a:schemeClr>
                  </a:solidFill>
                  <a:prstDash val="sysDash"/>
                </a:ln>
              </c:spPr>
            </c:marker>
            <c:spPr>
              <a:ln>
                <a:solidFill>
                  <a:schemeClr val="accent2">
                    <a:lumMod val="75000"/>
                  </a:schemeClr>
                </a:solidFill>
                <a:prstDash val="sysDash"/>
              </a:ln>
            </c:spPr>
          </c:dPt>
          <c:dPt>
            <c:idx val="7"/>
            <c:marker>
              <c:spPr>
                <a:solidFill>
                  <a:srgbClr val="C00000"/>
                </a:solidFill>
                <a:ln>
                  <a:solidFill>
                    <a:schemeClr val="accent2">
                      <a:lumMod val="75000"/>
                    </a:schemeClr>
                  </a:solidFill>
                  <a:prstDash val="sysDash"/>
                </a:ln>
              </c:spPr>
            </c:marker>
            <c:spPr>
              <a:ln>
                <a:solidFill>
                  <a:schemeClr val="accent2">
                    <a:lumMod val="75000"/>
                  </a:schemeClr>
                </a:solidFill>
                <a:prstDash val="sysDash"/>
              </a:ln>
            </c:spPr>
          </c:dPt>
          <c:dLbls>
            <c:dLbl>
              <c:idx val="6"/>
              <c:layout>
                <c:manualLayout>
                  <c:x val="-3.5584037396785249E-2"/>
                  <c:y val="-7.9502405949257157E-2"/>
                </c:manualLayout>
              </c:layout>
              <c:dLblPos val="r"/>
              <c:showVal val="1"/>
            </c:dLbl>
            <c:txPr>
              <a:bodyPr/>
              <a:lstStyle/>
              <a:p>
                <a:pPr>
                  <a:defRPr sz="900" b="1">
                    <a:latin typeface="Times New Roman" pitchFamily="18" charset="0"/>
                    <a:cs typeface="Times New Roman" pitchFamily="18" charset="0"/>
                  </a:defRPr>
                </a:pPr>
                <a:endParaRPr lang="ru-RU"/>
              </a:p>
            </c:txPr>
            <c:dLblPos val="t"/>
            <c:showVal val="1"/>
          </c:dLbls>
          <c:cat>
            <c:strRef>
              <c:f>Лист2!$C$71:$J$71</c:f>
              <c:strCache>
                <c:ptCount val="8"/>
                <c:pt idx="0">
                  <c:v>2010 год  факт</c:v>
                </c:pt>
                <c:pt idx="1">
                  <c:v>2011 год   факт</c:v>
                </c:pt>
                <c:pt idx="2">
                  <c:v>2012 год   факт</c:v>
                </c:pt>
                <c:pt idx="3">
                  <c:v>2013 год  факт</c:v>
                </c:pt>
                <c:pt idx="4">
                  <c:v>2014 год  оценка</c:v>
                </c:pt>
                <c:pt idx="5">
                  <c:v> 2015 год  прогноз </c:v>
                </c:pt>
                <c:pt idx="6">
                  <c:v>2016  год  прогноз  </c:v>
                </c:pt>
                <c:pt idx="7">
                  <c:v>2017 год  прогноз </c:v>
                </c:pt>
              </c:strCache>
            </c:strRef>
          </c:cat>
          <c:val>
            <c:numRef>
              <c:f>Лист2!$C$73:$J$73</c:f>
              <c:numCache>
                <c:formatCode>#,##0.0</c:formatCode>
                <c:ptCount val="8"/>
                <c:pt idx="0">
                  <c:v>112.78664325163552</c:v>
                </c:pt>
                <c:pt idx="1">
                  <c:v>105.39188799999998</c:v>
                </c:pt>
                <c:pt idx="2">
                  <c:v>92.166719999999998</c:v>
                </c:pt>
                <c:pt idx="3">
                  <c:v>101.22328051716106</c:v>
                </c:pt>
                <c:pt idx="4">
                  <c:v>101.10099999999997</c:v>
                </c:pt>
                <c:pt idx="5">
                  <c:v>102.20004005256583</c:v>
                </c:pt>
                <c:pt idx="6">
                  <c:v>102.60453917470358</c:v>
                </c:pt>
                <c:pt idx="7">
                  <c:v>103.01987271074105</c:v>
                </c:pt>
              </c:numCache>
            </c:numRef>
          </c:val>
        </c:ser>
        <c:marker val="1"/>
        <c:axId val="187572224"/>
        <c:axId val="187566336"/>
      </c:lineChart>
      <c:catAx>
        <c:axId val="187481088"/>
        <c:scaling>
          <c:orientation val="minMax"/>
        </c:scaling>
        <c:axPos val="b"/>
        <c:majorTickMark val="none"/>
        <c:tickLblPos val="nextTo"/>
        <c:txPr>
          <a:bodyPr/>
          <a:lstStyle/>
          <a:p>
            <a:pPr>
              <a:defRPr b="1">
                <a:latin typeface="Times New Roman" pitchFamily="18" charset="0"/>
                <a:cs typeface="Times New Roman" pitchFamily="18" charset="0"/>
              </a:defRPr>
            </a:pPr>
            <a:endParaRPr lang="ru-RU"/>
          </a:p>
        </c:txPr>
        <c:crossAx val="187564800"/>
        <c:crosses val="autoZero"/>
        <c:auto val="1"/>
        <c:lblAlgn val="ctr"/>
        <c:lblOffset val="100"/>
      </c:catAx>
      <c:valAx>
        <c:axId val="187564800"/>
        <c:scaling>
          <c:orientation val="minMax"/>
          <c:max val="9500"/>
          <c:min val="5000"/>
        </c:scaling>
        <c:axPos val="l"/>
        <c:majorGridlines/>
        <c:numFmt formatCode="#,##0.0" sourceLinked="1"/>
        <c:majorTickMark val="none"/>
        <c:tickLblPos val="nextTo"/>
        <c:spPr>
          <a:ln>
            <a:noFill/>
          </a:ln>
        </c:spPr>
        <c:txPr>
          <a:bodyPr/>
          <a:lstStyle/>
          <a:p>
            <a:pPr>
              <a:defRPr>
                <a:solidFill>
                  <a:schemeClr val="bg1"/>
                </a:solidFill>
              </a:defRPr>
            </a:pPr>
            <a:endParaRPr lang="ru-RU"/>
          </a:p>
        </c:txPr>
        <c:crossAx val="187481088"/>
        <c:crosses val="autoZero"/>
        <c:crossBetween val="between"/>
        <c:majorUnit val="1000"/>
      </c:valAx>
      <c:valAx>
        <c:axId val="187566336"/>
        <c:scaling>
          <c:orientation val="minMax"/>
        </c:scaling>
        <c:axPos val="r"/>
        <c:numFmt formatCode="#,##0.0" sourceLinked="1"/>
        <c:tickLblPos val="nextTo"/>
        <c:spPr>
          <a:ln>
            <a:noFill/>
          </a:ln>
        </c:spPr>
        <c:txPr>
          <a:bodyPr/>
          <a:lstStyle/>
          <a:p>
            <a:pPr>
              <a:defRPr>
                <a:solidFill>
                  <a:schemeClr val="bg1"/>
                </a:solidFill>
              </a:defRPr>
            </a:pPr>
            <a:endParaRPr lang="ru-RU"/>
          </a:p>
        </c:txPr>
        <c:crossAx val="187572224"/>
        <c:crosses val="max"/>
        <c:crossBetween val="between"/>
      </c:valAx>
      <c:catAx>
        <c:axId val="187572224"/>
        <c:scaling>
          <c:orientation val="minMax"/>
        </c:scaling>
        <c:delete val="1"/>
        <c:axPos val="b"/>
        <c:tickLblPos val="none"/>
        <c:crossAx val="187566336"/>
        <c:crosses val="autoZero"/>
        <c:auto val="1"/>
        <c:lblAlgn val="ctr"/>
        <c:lblOffset val="100"/>
      </c:catAx>
    </c:plotArea>
    <c:legend>
      <c:legendPos val="b"/>
      <c:legendEntry>
        <c:idx val="0"/>
        <c:txPr>
          <a:bodyPr/>
          <a:lstStyle/>
          <a:p>
            <a:pPr>
              <a:defRPr>
                <a:latin typeface="Times New Roman" pitchFamily="18" charset="0"/>
                <a:cs typeface="Times New Roman" pitchFamily="18" charset="0"/>
              </a:defRPr>
            </a:pPr>
            <a:endParaRPr lang="ru-RU"/>
          </a:p>
        </c:txPr>
      </c:legendEntry>
      <c:legendEntry>
        <c:idx val="1"/>
        <c:txPr>
          <a:bodyPr/>
          <a:lstStyle/>
          <a:p>
            <a:pPr>
              <a:defRPr>
                <a:latin typeface="Times New Roman" pitchFamily="18" charset="0"/>
                <a:cs typeface="Times New Roman" pitchFamily="18" charset="0"/>
              </a:defRPr>
            </a:pPr>
            <a:endParaRPr lang="ru-RU"/>
          </a:p>
        </c:txPr>
      </c:legendEntry>
      <c:layout>
        <c:manualLayout>
          <c:xMode val="edge"/>
          <c:yMode val="edge"/>
          <c:x val="0"/>
          <c:y val="0.8426202130139212"/>
          <c:w val="1"/>
          <c:h val="9.1045494313210865E-2"/>
        </c:manualLayout>
      </c:layout>
    </c:legend>
    <c:plotVisOnly val="1"/>
    <c:dispBlanksAs val="gap"/>
  </c:chart>
  <c:spPr>
    <a:ln>
      <a:noFill/>
    </a:ln>
  </c:sp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Лист3!$A$4</c:f>
              <c:strCache>
                <c:ptCount val="1"/>
                <c:pt idx="0">
                  <c:v>Индекс промышленного производства  (Добыча полезных ископаемых+ Обрабатываю-щие производства+ Производство и распределение электроэнергии, газа и воды)</c:v>
                </c:pt>
              </c:strCache>
            </c:strRef>
          </c:tx>
          <c:spPr>
            <a:gradFill flip="none" rotWithShape="1">
              <a:gsLst>
                <a:gs pos="0">
                  <a:schemeClr val="accent1">
                    <a:shade val="30000"/>
                    <a:satMod val="115000"/>
                  </a:schemeClr>
                </a:gs>
                <a:gs pos="50000">
                  <a:schemeClr val="accent1">
                    <a:shade val="67500"/>
                    <a:satMod val="115000"/>
                  </a:schemeClr>
                </a:gs>
                <a:gs pos="100000">
                  <a:schemeClr val="accent1">
                    <a:shade val="100000"/>
                    <a:satMod val="115000"/>
                  </a:schemeClr>
                </a:gs>
              </a:gsLst>
              <a:lin ang="2700000" scaled="1"/>
              <a:tileRect/>
            </a:gradFill>
          </c:spPr>
          <c:dLbls>
            <c:txPr>
              <a:bodyPr/>
              <a:lstStyle/>
              <a:p>
                <a:pPr>
                  <a:defRPr b="1"/>
                </a:pPr>
                <a:endParaRPr lang="ru-RU"/>
              </a:p>
            </c:txPr>
            <c:showVal val="1"/>
          </c:dLbls>
          <c:cat>
            <c:multiLvlStrRef>
              <c:f>Лист3!$B$2:$I$3</c:f>
              <c:multiLvlStrCache>
                <c:ptCount val="8"/>
                <c:lvl>
                  <c:pt idx="2">
                    <c:v>вар 1</c:v>
                  </c:pt>
                  <c:pt idx="3">
                    <c:v>вар 2</c:v>
                  </c:pt>
                  <c:pt idx="4">
                    <c:v>вар 1</c:v>
                  </c:pt>
                  <c:pt idx="5">
                    <c:v>вар 2</c:v>
                  </c:pt>
                  <c:pt idx="6">
                    <c:v>вар 1</c:v>
                  </c:pt>
                  <c:pt idx="7">
                    <c:v>вар 2</c:v>
                  </c:pt>
                </c:lvl>
                <c:lvl>
                  <c:pt idx="0">
                    <c:v>2013</c:v>
                  </c:pt>
                  <c:pt idx="1">
                    <c:v>2014</c:v>
                  </c:pt>
                  <c:pt idx="2">
                    <c:v>2015</c:v>
                  </c:pt>
                  <c:pt idx="4">
                    <c:v>2016</c:v>
                  </c:pt>
                  <c:pt idx="6">
                    <c:v>2017</c:v>
                  </c:pt>
                </c:lvl>
              </c:multiLvlStrCache>
            </c:multiLvlStrRef>
          </c:cat>
          <c:val>
            <c:numRef>
              <c:f>Лист3!$B$4:$I$4</c:f>
              <c:numCache>
                <c:formatCode>#,##0.00</c:formatCode>
                <c:ptCount val="8"/>
                <c:pt idx="0">
                  <c:v>97.1</c:v>
                </c:pt>
                <c:pt idx="1">
                  <c:v>100.9</c:v>
                </c:pt>
                <c:pt idx="2" formatCode="0.00">
                  <c:v>100.3</c:v>
                </c:pt>
                <c:pt idx="3" formatCode="0.00">
                  <c:v>101.7</c:v>
                </c:pt>
                <c:pt idx="4" formatCode="0.00">
                  <c:v>101</c:v>
                </c:pt>
                <c:pt idx="5" formatCode="0.00">
                  <c:v>102.7</c:v>
                </c:pt>
                <c:pt idx="6" formatCode="General">
                  <c:v>102.4</c:v>
                </c:pt>
                <c:pt idx="7" formatCode="0.00">
                  <c:v>103</c:v>
                </c:pt>
              </c:numCache>
            </c:numRef>
          </c:val>
        </c:ser>
        <c:dLbls>
          <c:showVal val="1"/>
        </c:dLbls>
        <c:gapWidth val="75"/>
        <c:axId val="187601280"/>
        <c:axId val="187602816"/>
      </c:barChart>
      <c:catAx>
        <c:axId val="187601280"/>
        <c:scaling>
          <c:orientation val="minMax"/>
        </c:scaling>
        <c:axPos val="b"/>
        <c:majorTickMark val="none"/>
        <c:tickLblPos val="nextTo"/>
        <c:crossAx val="187602816"/>
        <c:crosses val="autoZero"/>
        <c:auto val="1"/>
        <c:lblAlgn val="ctr"/>
        <c:lblOffset val="100"/>
      </c:catAx>
      <c:valAx>
        <c:axId val="187602816"/>
        <c:scaling>
          <c:orientation val="minMax"/>
        </c:scaling>
        <c:axPos val="l"/>
        <c:numFmt formatCode="#,##0" sourceLinked="0"/>
        <c:majorTickMark val="none"/>
        <c:tickLblPos val="nextTo"/>
        <c:crossAx val="187601280"/>
        <c:crosses val="autoZero"/>
        <c:crossBetween val="between"/>
      </c:valAx>
    </c:plotArea>
    <c:legend>
      <c:legendPos val="b"/>
      <c:layout>
        <c:manualLayout>
          <c:xMode val="edge"/>
          <c:yMode val="edge"/>
          <c:x val="1.1111111111111125E-2"/>
          <c:y val="0.77662620297463192"/>
          <c:w val="0.98055555555555551"/>
          <c:h val="0.19559601924759404"/>
        </c:manualLayout>
      </c:layout>
    </c:legend>
    <c:plotVisOnly val="1"/>
    <c:dispBlanksAs val="gap"/>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6.1111111111111123E-2"/>
          <c:y val="2.6125112739285982E-2"/>
          <c:w val="0.93888888888889344"/>
          <c:h val="0.7190437681776265"/>
        </c:manualLayout>
      </c:layout>
      <c:barChart>
        <c:barDir val="col"/>
        <c:grouping val="clustered"/>
        <c:ser>
          <c:idx val="0"/>
          <c:order val="0"/>
          <c:tx>
            <c:strRef>
              <c:f>Лист2!$M$5</c:f>
              <c:strCache>
                <c:ptCount val="1"/>
                <c:pt idx="0">
                  <c:v>млн. рублей</c:v>
                </c:pt>
              </c:strCache>
            </c:strRef>
          </c:tx>
          <c:spPr>
            <a:blipFill>
              <a:blip xmlns:r="http://schemas.openxmlformats.org/officeDocument/2006/relationships" r:embed="rId1"/>
              <a:tile tx="0" ty="0" sx="100000" sy="100000" flip="none" algn="tl"/>
            </a:blipFill>
          </c:spPr>
          <c:dPt>
            <c:idx val="0"/>
            <c:spPr>
              <a:solidFill>
                <a:schemeClr val="accent4">
                  <a:lumMod val="75000"/>
                </a:schemeClr>
              </a:solidFill>
            </c:spPr>
          </c:dPt>
          <c:dPt>
            <c:idx val="1"/>
            <c:spPr>
              <a:solidFill>
                <a:schemeClr val="accent4">
                  <a:lumMod val="40000"/>
                  <a:lumOff val="60000"/>
                </a:schemeClr>
              </a:solidFill>
              <a:ln w="12700">
                <a:solidFill>
                  <a:schemeClr val="tx2">
                    <a:lumMod val="40000"/>
                    <a:lumOff val="60000"/>
                  </a:schemeClr>
                </a:solidFill>
              </a:ln>
            </c:spPr>
          </c:dPt>
          <c:dPt>
            <c:idx val="2"/>
            <c:spPr>
              <a:solidFill>
                <a:schemeClr val="accent4">
                  <a:lumMod val="75000"/>
                </a:schemeClr>
              </a:solidFill>
            </c:spPr>
          </c:dPt>
          <c:dPt>
            <c:idx val="3"/>
            <c:spPr>
              <a:solidFill>
                <a:schemeClr val="accent4">
                  <a:lumMod val="40000"/>
                  <a:lumOff val="60000"/>
                </a:schemeClr>
              </a:solidFill>
              <a:ln w="12700">
                <a:solidFill>
                  <a:schemeClr val="tx2">
                    <a:lumMod val="40000"/>
                    <a:lumOff val="60000"/>
                  </a:schemeClr>
                </a:solidFill>
              </a:ln>
            </c:spPr>
          </c:dPt>
          <c:dPt>
            <c:idx val="4"/>
            <c:spPr>
              <a:solidFill>
                <a:schemeClr val="accent4">
                  <a:lumMod val="75000"/>
                </a:schemeClr>
              </a:solidFill>
            </c:spPr>
          </c:dPt>
          <c:dPt>
            <c:idx val="5"/>
            <c:spPr>
              <a:solidFill>
                <a:schemeClr val="accent4">
                  <a:lumMod val="40000"/>
                  <a:lumOff val="60000"/>
                </a:schemeClr>
              </a:solidFill>
              <a:ln w="12700">
                <a:solidFill>
                  <a:schemeClr val="tx2">
                    <a:lumMod val="40000"/>
                    <a:lumOff val="60000"/>
                  </a:schemeClr>
                </a:solidFill>
              </a:ln>
            </c:spPr>
          </c:dPt>
          <c:dLbls>
            <c:txPr>
              <a:bodyPr/>
              <a:lstStyle/>
              <a:p>
                <a:pPr>
                  <a:defRPr b="1"/>
                </a:pPr>
                <a:endParaRPr lang="ru-RU"/>
              </a:p>
            </c:txPr>
            <c:showVal val="1"/>
          </c:dLbls>
          <c:cat>
            <c:multiLvlStrRef>
              <c:f>Лист2!$N$3:$S$4</c:f>
              <c:multiLvlStrCache>
                <c:ptCount val="6"/>
                <c:lvl>
                  <c:pt idx="0">
                    <c:v>1 вар.</c:v>
                  </c:pt>
                  <c:pt idx="1">
                    <c:v>2 вар.</c:v>
                  </c:pt>
                  <c:pt idx="2">
                    <c:v>1 вар.</c:v>
                  </c:pt>
                  <c:pt idx="3">
                    <c:v>2 вар.</c:v>
                  </c:pt>
                  <c:pt idx="4">
                    <c:v>1 вар.</c:v>
                  </c:pt>
                  <c:pt idx="5">
                    <c:v>2 вар.</c:v>
                  </c:pt>
                </c:lvl>
                <c:lvl>
                  <c:pt idx="0">
                    <c:v>2015</c:v>
                  </c:pt>
                  <c:pt idx="2">
                    <c:v>2016</c:v>
                  </c:pt>
                  <c:pt idx="4">
                    <c:v>2017</c:v>
                  </c:pt>
                </c:lvl>
              </c:multiLvlStrCache>
            </c:multiLvlStrRef>
          </c:cat>
          <c:val>
            <c:numRef>
              <c:f>Лист2!$N$5:$S$5</c:f>
              <c:numCache>
                <c:formatCode>#,##0.0</c:formatCode>
                <c:ptCount val="6"/>
                <c:pt idx="0">
                  <c:v>36346.655321872255</c:v>
                </c:pt>
                <c:pt idx="1">
                  <c:v>36754.989472520276</c:v>
                </c:pt>
                <c:pt idx="2">
                  <c:v>38075.611315137627</c:v>
                </c:pt>
                <c:pt idx="3">
                  <c:v>38718.1203564635</c:v>
                </c:pt>
                <c:pt idx="4">
                  <c:v>39976.05534532071</c:v>
                </c:pt>
                <c:pt idx="5">
                  <c:v>40761.467059091403</c:v>
                </c:pt>
              </c:numCache>
            </c:numRef>
          </c:val>
        </c:ser>
        <c:dLbls>
          <c:showVal val="1"/>
        </c:dLbls>
        <c:overlap val="-25"/>
        <c:axId val="188559360"/>
        <c:axId val="188560896"/>
      </c:barChart>
      <c:catAx>
        <c:axId val="188559360"/>
        <c:scaling>
          <c:orientation val="minMax"/>
        </c:scaling>
        <c:axPos val="b"/>
        <c:majorTickMark val="none"/>
        <c:tickLblPos val="nextTo"/>
        <c:crossAx val="188560896"/>
        <c:crosses val="autoZero"/>
        <c:auto val="1"/>
        <c:lblAlgn val="ctr"/>
        <c:lblOffset val="100"/>
      </c:catAx>
      <c:valAx>
        <c:axId val="188560896"/>
        <c:scaling>
          <c:orientation val="minMax"/>
        </c:scaling>
        <c:delete val="1"/>
        <c:axPos val="l"/>
        <c:numFmt formatCode="#,##0.0" sourceLinked="1"/>
        <c:tickLblPos val="none"/>
        <c:crossAx val="188559360"/>
        <c:crosses val="autoZero"/>
        <c:crossBetween val="between"/>
      </c:valAx>
    </c:plotArea>
    <c:plotVisOnly val="1"/>
    <c:dispBlanksAs val="gap"/>
  </c:chart>
  <c:spPr>
    <a:ln>
      <a:noFill/>
    </a:ln>
  </c:spPr>
  <c:txPr>
    <a:bodyPr/>
    <a:lstStyle/>
    <a:p>
      <a:pPr>
        <a:defRPr>
          <a:latin typeface="Times New Roman" pitchFamily="18" charset="0"/>
          <a:cs typeface="Times New Roman" pitchFamily="18" charset="0"/>
        </a:defRPr>
      </a:pPr>
      <a:endParaRPr lang="ru-RU"/>
    </a:p>
  </c:txPr>
  <c:externalData r:id="rId2"/>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Лист1!$B$1</c:f>
              <c:strCache>
                <c:ptCount val="1"/>
                <c:pt idx="0">
                  <c:v>Столбец1</c:v>
                </c:pt>
              </c:strCache>
            </c:strRef>
          </c:tx>
          <c:dLbls>
            <c:txPr>
              <a:bodyPr/>
              <a:lstStyle/>
              <a:p>
                <a:pPr>
                  <a:defRPr b="1"/>
                </a:pPr>
                <a:endParaRPr lang="ru-RU"/>
              </a:p>
            </c:txPr>
            <c:showVal val="1"/>
          </c:dLbls>
          <c:cat>
            <c:strRef>
              <c:f>Лист1!$A$2:$A$5</c:f>
              <c:strCache>
                <c:ptCount val="4"/>
                <c:pt idx="0">
                  <c:v>2011 год</c:v>
                </c:pt>
                <c:pt idx="1">
                  <c:v>2012 год</c:v>
                </c:pt>
                <c:pt idx="2">
                  <c:v>2013 год</c:v>
                </c:pt>
                <c:pt idx="3">
                  <c:v>2014 год (оценка)</c:v>
                </c:pt>
              </c:strCache>
            </c:strRef>
          </c:cat>
          <c:val>
            <c:numRef>
              <c:f>Лист1!$B$2:$B$5</c:f>
              <c:numCache>
                <c:formatCode>#,##0.00</c:formatCode>
                <c:ptCount val="4"/>
                <c:pt idx="0">
                  <c:v>26197.7</c:v>
                </c:pt>
                <c:pt idx="1">
                  <c:v>28950.799999999996</c:v>
                </c:pt>
                <c:pt idx="2">
                  <c:v>23789.9</c:v>
                </c:pt>
                <c:pt idx="3">
                  <c:v>24972.84</c:v>
                </c:pt>
              </c:numCache>
            </c:numRef>
          </c:val>
        </c:ser>
        <c:axId val="188581376"/>
        <c:axId val="188582912"/>
      </c:barChart>
      <c:catAx>
        <c:axId val="188581376"/>
        <c:scaling>
          <c:orientation val="minMax"/>
        </c:scaling>
        <c:axPos val="b"/>
        <c:tickLblPos val="nextTo"/>
        <c:crossAx val="188582912"/>
        <c:crosses val="autoZero"/>
        <c:auto val="1"/>
        <c:lblAlgn val="ctr"/>
        <c:lblOffset val="100"/>
      </c:catAx>
      <c:valAx>
        <c:axId val="188582912"/>
        <c:scaling>
          <c:orientation val="minMax"/>
          <c:max val="30000"/>
        </c:scaling>
        <c:axPos val="l"/>
        <c:majorGridlines/>
        <c:numFmt formatCode="#,##0.00" sourceLinked="1"/>
        <c:tickLblPos val="nextTo"/>
        <c:crossAx val="188581376"/>
        <c:crosses val="autoZero"/>
        <c:crossBetween val="between"/>
      </c:valAx>
    </c:plotArea>
    <c:plotVisOnly val="1"/>
    <c:dispBlanksAs val="gap"/>
  </c:chart>
  <c:spPr>
    <a:ln>
      <a:noFill/>
    </a:ln>
  </c:spPr>
  <c:txPr>
    <a:bodyPr/>
    <a:lstStyle/>
    <a:p>
      <a:pPr>
        <a:defRPr baseline="0">
          <a:latin typeface="Times New Roman" pitchFamily="18" charset="0"/>
        </a:defRPr>
      </a:pPr>
      <a:endParaRPr lang="ru-RU"/>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stacked"/>
        <c:ser>
          <c:idx val="0"/>
          <c:order val="0"/>
          <c:tx>
            <c:strRef>
              <c:f>Лист1!$B$1</c:f>
              <c:strCache>
                <c:ptCount val="1"/>
                <c:pt idx="0">
                  <c:v>Объем инвестиций в основной капитал по крупным и средним предприятиям</c:v>
                </c:pt>
              </c:strCache>
            </c:strRef>
          </c:tx>
          <c:cat>
            <c:strRef>
              <c:f>Лист1!$A$2:$A$5</c:f>
              <c:strCache>
                <c:ptCount val="4"/>
                <c:pt idx="0">
                  <c:v>2011 год</c:v>
                </c:pt>
                <c:pt idx="1">
                  <c:v>2012 год</c:v>
                </c:pt>
                <c:pt idx="2">
                  <c:v>2013 год</c:v>
                </c:pt>
                <c:pt idx="3">
                  <c:v>2014 год (оценка)</c:v>
                </c:pt>
              </c:strCache>
            </c:strRef>
          </c:cat>
          <c:val>
            <c:numRef>
              <c:f>Лист1!$B$2:$B$5</c:f>
              <c:numCache>
                <c:formatCode>0.00%</c:formatCode>
                <c:ptCount val="4"/>
                <c:pt idx="0">
                  <c:v>0.79149999999999998</c:v>
                </c:pt>
                <c:pt idx="1">
                  <c:v>0.79179999999999995</c:v>
                </c:pt>
                <c:pt idx="2">
                  <c:v>0.69790000000000063</c:v>
                </c:pt>
                <c:pt idx="3">
                  <c:v>0.69410000000000005</c:v>
                </c:pt>
              </c:numCache>
            </c:numRef>
          </c:val>
        </c:ser>
        <c:ser>
          <c:idx val="1"/>
          <c:order val="1"/>
          <c:tx>
            <c:strRef>
              <c:f>Лист1!$C$1</c:f>
              <c:strCache>
                <c:ptCount val="1"/>
                <c:pt idx="0">
                  <c:v>Объем инвестиций в основной капитал по малым предприятиям</c:v>
                </c:pt>
              </c:strCache>
            </c:strRef>
          </c:tx>
          <c:spPr>
            <a:solidFill>
              <a:schemeClr val="tx2">
                <a:lumMod val="20000"/>
                <a:lumOff val="80000"/>
              </a:schemeClr>
            </a:solidFill>
          </c:spPr>
          <c:dLbls>
            <c:dLbl>
              <c:idx val="0"/>
              <c:layout>
                <c:manualLayout>
                  <c:x val="2.1893814997263443E-3"/>
                  <c:y val="-1.2698412698412705E-2"/>
                </c:manualLayout>
              </c:layout>
              <c:spPr/>
              <c:txPr>
                <a:bodyPr/>
                <a:lstStyle/>
                <a:p>
                  <a:pPr>
                    <a:defRPr b="1"/>
                  </a:pPr>
                  <a:endParaRPr lang="ru-RU"/>
                </a:p>
              </c:txPr>
              <c:showVal val="1"/>
            </c:dLbl>
            <c:dLbl>
              <c:idx val="1"/>
              <c:spPr/>
              <c:txPr>
                <a:bodyPr/>
                <a:lstStyle/>
                <a:p>
                  <a:pPr>
                    <a:defRPr b="1"/>
                  </a:pPr>
                  <a:endParaRPr lang="ru-RU"/>
                </a:p>
              </c:txPr>
            </c:dLbl>
            <c:dLbl>
              <c:idx val="2"/>
              <c:spPr/>
              <c:txPr>
                <a:bodyPr/>
                <a:lstStyle/>
                <a:p>
                  <a:pPr>
                    <a:defRPr b="1"/>
                  </a:pPr>
                  <a:endParaRPr lang="ru-RU"/>
                </a:p>
              </c:txPr>
            </c:dLbl>
            <c:dLbl>
              <c:idx val="3"/>
              <c:spPr/>
              <c:txPr>
                <a:bodyPr/>
                <a:lstStyle/>
                <a:p>
                  <a:pPr>
                    <a:defRPr b="1"/>
                  </a:pPr>
                  <a:endParaRPr lang="ru-RU"/>
                </a:p>
              </c:txPr>
            </c:dLbl>
            <c:showVal val="1"/>
          </c:dLbls>
          <c:cat>
            <c:strRef>
              <c:f>Лист1!$A$2:$A$5</c:f>
              <c:strCache>
                <c:ptCount val="4"/>
                <c:pt idx="0">
                  <c:v>2011 год</c:v>
                </c:pt>
                <c:pt idx="1">
                  <c:v>2012 год</c:v>
                </c:pt>
                <c:pt idx="2">
                  <c:v>2013 год</c:v>
                </c:pt>
                <c:pt idx="3">
                  <c:v>2014 год (оценка)</c:v>
                </c:pt>
              </c:strCache>
            </c:strRef>
          </c:cat>
          <c:val>
            <c:numRef>
              <c:f>Лист1!$C$2:$C$5</c:f>
              <c:numCache>
                <c:formatCode>0.00%</c:formatCode>
                <c:ptCount val="4"/>
                <c:pt idx="0">
                  <c:v>0.22850000000000001</c:v>
                </c:pt>
                <c:pt idx="1">
                  <c:v>0.20820000000000041</c:v>
                </c:pt>
                <c:pt idx="2">
                  <c:v>0.30210000000000031</c:v>
                </c:pt>
                <c:pt idx="3">
                  <c:v>0.30590000000000167</c:v>
                </c:pt>
              </c:numCache>
            </c:numRef>
          </c:val>
        </c:ser>
        <c:overlap val="100"/>
        <c:axId val="188625664"/>
        <c:axId val="188627200"/>
      </c:barChart>
      <c:catAx>
        <c:axId val="188625664"/>
        <c:scaling>
          <c:orientation val="minMax"/>
        </c:scaling>
        <c:axPos val="b"/>
        <c:tickLblPos val="nextTo"/>
        <c:crossAx val="188627200"/>
        <c:crosses val="autoZero"/>
        <c:auto val="1"/>
        <c:lblAlgn val="ctr"/>
        <c:lblOffset val="100"/>
      </c:catAx>
      <c:valAx>
        <c:axId val="188627200"/>
        <c:scaling>
          <c:orientation val="minMax"/>
          <c:max val="1"/>
        </c:scaling>
        <c:axPos val="l"/>
        <c:majorGridlines/>
        <c:numFmt formatCode="0%" sourceLinked="0"/>
        <c:tickLblPos val="nextTo"/>
        <c:txPr>
          <a:bodyPr/>
          <a:lstStyle/>
          <a:p>
            <a:pPr>
              <a:defRPr kern="800" baseline="0"/>
            </a:pPr>
            <a:endParaRPr lang="ru-RU"/>
          </a:p>
        </c:txPr>
        <c:crossAx val="188625664"/>
        <c:crosses val="autoZero"/>
        <c:crossBetween val="between"/>
      </c:valAx>
    </c:plotArea>
    <c:legend>
      <c:legendPos val="b"/>
      <c:layout/>
    </c:legend>
    <c:plotVisOnly val="1"/>
    <c:dispBlanksAs val="gap"/>
  </c:chart>
  <c:txPr>
    <a:bodyPr/>
    <a:lstStyle/>
    <a:p>
      <a:pPr>
        <a:defRPr baseline="0">
          <a:latin typeface="Times New Roman" pitchFamily="18" charset="0"/>
        </a:defRPr>
      </a:pPr>
      <a:endParaRPr lang="ru-RU"/>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10"/>
    </c:view3D>
    <c:plotArea>
      <c:layout>
        <c:manualLayout>
          <c:layoutTarget val="inner"/>
          <c:xMode val="edge"/>
          <c:yMode val="edge"/>
          <c:x val="0.15972222222222329"/>
          <c:y val="5.9523809523809507E-2"/>
          <c:w val="0.67341553659959985"/>
          <c:h val="0.91269841269842167"/>
        </c:manualLayout>
      </c:layout>
      <c:pie3DChart>
        <c:varyColors val="1"/>
        <c:ser>
          <c:idx val="0"/>
          <c:order val="0"/>
          <c:tx>
            <c:strRef>
              <c:f>Лист1!$B$1</c:f>
              <c:strCache>
                <c:ptCount val="1"/>
                <c:pt idx="0">
                  <c:v>Столбец1</c:v>
                </c:pt>
              </c:strCache>
            </c:strRef>
          </c:tx>
          <c:spPr>
            <a:ln>
              <a:solidFill>
                <a:schemeClr val="tx1"/>
              </a:solidFill>
            </a:ln>
          </c:spPr>
          <c:dPt>
            <c:idx val="0"/>
            <c:spPr>
              <a:solidFill>
                <a:schemeClr val="tx2">
                  <a:lumMod val="40000"/>
                  <a:lumOff val="60000"/>
                </a:schemeClr>
              </a:solidFill>
              <a:ln>
                <a:solidFill>
                  <a:schemeClr val="tx1"/>
                </a:solidFill>
              </a:ln>
            </c:spPr>
          </c:dPt>
          <c:dPt>
            <c:idx val="3"/>
            <c:spPr>
              <a:solidFill>
                <a:schemeClr val="accent6"/>
              </a:solidFill>
              <a:ln>
                <a:solidFill>
                  <a:schemeClr val="tx1"/>
                </a:solidFill>
              </a:ln>
            </c:spPr>
          </c:dPt>
          <c:dPt>
            <c:idx val="4"/>
            <c:spPr>
              <a:solidFill>
                <a:srgbClr val="FFFF00"/>
              </a:solidFill>
              <a:ln>
                <a:solidFill>
                  <a:schemeClr val="tx1"/>
                </a:solidFill>
              </a:ln>
            </c:spPr>
          </c:dPt>
          <c:dLbls>
            <c:dLbl>
              <c:idx val="0"/>
              <c:layout>
                <c:manualLayout>
                  <c:x val="-7.5046904315197033E-2"/>
                  <c:y val="3.5842293906810055E-2"/>
                </c:manualLayout>
              </c:layout>
              <c:dLblPos val="bestFit"/>
              <c:showLegendKey val="1"/>
              <c:showVal val="1"/>
              <c:showCatName val="1"/>
            </c:dLbl>
            <c:dLbl>
              <c:idx val="1"/>
              <c:layout>
                <c:manualLayout>
                  <c:x val="2.2038567493113215E-3"/>
                  <c:y val="-0.13922356091030785"/>
                </c:manualLayout>
              </c:layout>
              <c:dLblPos val="bestFit"/>
              <c:showLegendKey val="1"/>
              <c:showVal val="1"/>
              <c:showCatName val="1"/>
            </c:dLbl>
            <c:dLbl>
              <c:idx val="4"/>
              <c:layout>
                <c:manualLayout>
                  <c:x val="8.2671551609519681E-2"/>
                  <c:y val="0"/>
                </c:manualLayout>
              </c:layout>
              <c:dLblPos val="bestFit"/>
              <c:showLegendKey val="1"/>
              <c:showVal val="1"/>
              <c:showCatName val="1"/>
            </c:dLbl>
            <c:spPr>
              <a:effectLst/>
            </c:spPr>
            <c:dLblPos val="outEnd"/>
            <c:showLegendKey val="1"/>
            <c:showVal val="1"/>
            <c:showCatName val="1"/>
          </c:dLbls>
          <c:cat>
            <c:strRef>
              <c:f>Лист1!$A$2:$A$6</c:f>
              <c:strCache>
                <c:ptCount val="5"/>
                <c:pt idx="0">
                  <c:v>Другие средства</c:v>
                </c:pt>
                <c:pt idx="1">
                  <c:v>Местный бюджет</c:v>
                </c:pt>
                <c:pt idx="2">
                  <c:v>Федеральный бюджет</c:v>
                </c:pt>
                <c:pt idx="3">
                  <c:v>Собственные средства предприятий</c:v>
                </c:pt>
                <c:pt idx="4">
                  <c:v>Бюджеты субъектов Федерации</c:v>
                </c:pt>
              </c:strCache>
            </c:strRef>
          </c:cat>
          <c:val>
            <c:numRef>
              <c:f>Лист1!$B$2:$B$6</c:f>
              <c:numCache>
                <c:formatCode>0.0%</c:formatCode>
                <c:ptCount val="5"/>
                <c:pt idx="0">
                  <c:v>0.24000000000000021</c:v>
                </c:pt>
                <c:pt idx="1">
                  <c:v>3.5999999999999997E-2</c:v>
                </c:pt>
                <c:pt idx="2">
                  <c:v>0.28200000000000008</c:v>
                </c:pt>
                <c:pt idx="3">
                  <c:v>0.29800000000000032</c:v>
                </c:pt>
                <c:pt idx="4">
                  <c:v>0.14400000000000004</c:v>
                </c:pt>
              </c:numCache>
            </c:numRef>
          </c:val>
        </c:ser>
      </c:pie3DChart>
    </c:plotArea>
    <c:plotVisOnly val="1"/>
    <c:dispBlanksAs val="zero"/>
  </c:chart>
  <c:spPr>
    <a:ln>
      <a:noFill/>
    </a:ln>
  </c:spPr>
  <c:externalData r:id="rId1"/>
</c:chartSpace>
</file>

<file path=word/drawings/drawing1.xml><?xml version="1.0" encoding="utf-8"?>
<c:userShapes xmlns:c="http://schemas.openxmlformats.org/drawingml/2006/chart">
  <cdr:relSizeAnchor xmlns:cdr="http://schemas.openxmlformats.org/drawingml/2006/chartDrawing">
    <cdr:from>
      <cdr:x>0.2934</cdr:x>
      <cdr:y>0.46178</cdr:y>
    </cdr:from>
    <cdr:to>
      <cdr:x>0.34201</cdr:x>
      <cdr:y>0.52042</cdr:y>
    </cdr:to>
    <cdr:sp macro="" textlink="">
      <cdr:nvSpPr>
        <cdr:cNvPr id="3" name="Прямоугольник 2"/>
        <cdr:cNvSpPr/>
      </cdr:nvSpPr>
      <cdr:spPr>
        <a:xfrm xmlns:a="http://schemas.openxmlformats.org/drawingml/2006/main">
          <a:off x="1609713" y="1741776"/>
          <a:ext cx="266694" cy="221184"/>
        </a:xfrm>
        <a:prstGeom xmlns:a="http://schemas.openxmlformats.org/drawingml/2006/main" prst="rect">
          <a:avLst/>
        </a:prstGeom>
        <a:solidFill xmlns:a="http://schemas.openxmlformats.org/drawingml/2006/main">
          <a:schemeClr val="bg1"/>
        </a:solidFill>
        <a:ln xmlns:a="http://schemas.openxmlformats.org/drawingml/2006/main">
          <a:solidFill>
            <a:schemeClr val="bg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ru-RU">
              <a:solidFill>
                <a:sysClr val="windowText" lastClr="000000"/>
              </a:solidFill>
              <a:latin typeface="Times New Roman" pitchFamily="18" charset="0"/>
              <a:cs typeface="Times New Roman" pitchFamily="18" charset="0"/>
            </a:rPr>
            <a:t>2</a:t>
          </a:r>
        </a:p>
      </cdr:txBody>
    </cdr:sp>
  </cdr:relSizeAnchor>
  <cdr:relSizeAnchor xmlns:cdr="http://schemas.openxmlformats.org/drawingml/2006/chartDrawing">
    <cdr:from>
      <cdr:x>0.45486</cdr:x>
      <cdr:y>0.46141</cdr:y>
    </cdr:from>
    <cdr:to>
      <cdr:x>0.50695</cdr:x>
      <cdr:y>0.52932</cdr:y>
    </cdr:to>
    <cdr:sp macro="" textlink="">
      <cdr:nvSpPr>
        <cdr:cNvPr id="4" name="Прямоугольник 3"/>
        <cdr:cNvSpPr/>
      </cdr:nvSpPr>
      <cdr:spPr>
        <a:xfrm xmlns:a="http://schemas.openxmlformats.org/drawingml/2006/main">
          <a:off x="2495532" y="1740386"/>
          <a:ext cx="285786" cy="256149"/>
        </a:xfrm>
        <a:prstGeom xmlns:a="http://schemas.openxmlformats.org/drawingml/2006/main" prst="rect">
          <a:avLst/>
        </a:prstGeom>
        <a:solidFill xmlns:a="http://schemas.openxmlformats.org/drawingml/2006/main">
          <a:schemeClr val="bg1"/>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ru-RU">
              <a:solidFill>
                <a:sysClr val="windowText" lastClr="000000"/>
              </a:solidFill>
              <a:latin typeface="Times New Roman" pitchFamily="18" charset="0"/>
              <a:cs typeface="Times New Roman" pitchFamily="18" charset="0"/>
            </a:rPr>
            <a:t>3</a:t>
          </a:r>
        </a:p>
      </cdr:txBody>
    </cdr:sp>
  </cdr:relSizeAnchor>
  <cdr:relSizeAnchor xmlns:cdr="http://schemas.openxmlformats.org/drawingml/2006/chartDrawing">
    <cdr:from>
      <cdr:x>0.74398</cdr:x>
      <cdr:y>0.45514</cdr:y>
    </cdr:from>
    <cdr:to>
      <cdr:x>0.78912</cdr:x>
      <cdr:y>0.54465</cdr:y>
    </cdr:to>
    <cdr:sp macro="" textlink="">
      <cdr:nvSpPr>
        <cdr:cNvPr id="6" name="Прямоугольник 5"/>
        <cdr:cNvSpPr/>
      </cdr:nvSpPr>
      <cdr:spPr>
        <a:xfrm xmlns:a="http://schemas.openxmlformats.org/drawingml/2006/main">
          <a:off x="3975491" y="1716743"/>
          <a:ext cx="241207" cy="337623"/>
        </a:xfrm>
        <a:prstGeom xmlns:a="http://schemas.openxmlformats.org/drawingml/2006/main" prst="rect">
          <a:avLst/>
        </a:prstGeom>
        <a:solidFill xmlns:a="http://schemas.openxmlformats.org/drawingml/2006/main">
          <a:schemeClr val="bg1"/>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ru-RU">
              <a:solidFill>
                <a:sysClr val="windowText" lastClr="000000"/>
              </a:solidFill>
              <a:latin typeface="Times New Roman" pitchFamily="18" charset="0"/>
              <a:cs typeface="Times New Roman" pitchFamily="18" charset="0"/>
            </a:rPr>
            <a:t>5</a:t>
          </a:r>
        </a:p>
      </cdr:txBody>
    </cdr:sp>
  </cdr:relSizeAnchor>
  <cdr:relSizeAnchor xmlns:cdr="http://schemas.openxmlformats.org/drawingml/2006/chartDrawing">
    <cdr:from>
      <cdr:x>0.89356</cdr:x>
      <cdr:y>0.46216</cdr:y>
    </cdr:from>
    <cdr:to>
      <cdr:x>0.93697</cdr:x>
      <cdr:y>0.5424</cdr:y>
    </cdr:to>
    <cdr:sp macro="" textlink="">
      <cdr:nvSpPr>
        <cdr:cNvPr id="7" name="Прямоугольник 6"/>
        <cdr:cNvSpPr/>
      </cdr:nvSpPr>
      <cdr:spPr>
        <a:xfrm xmlns:a="http://schemas.openxmlformats.org/drawingml/2006/main">
          <a:off x="4774783" y="1743226"/>
          <a:ext cx="231961" cy="302657"/>
        </a:xfrm>
        <a:prstGeom xmlns:a="http://schemas.openxmlformats.org/drawingml/2006/main" prst="rect">
          <a:avLst/>
        </a:prstGeom>
        <a:solidFill xmlns:a="http://schemas.openxmlformats.org/drawingml/2006/main">
          <a:schemeClr val="bg1"/>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ru-RU">
              <a:solidFill>
                <a:sysClr val="windowText" lastClr="000000"/>
              </a:solidFill>
              <a:latin typeface="Times New Roman" pitchFamily="18" charset="0"/>
              <a:cs typeface="Times New Roman" pitchFamily="18" charset="0"/>
            </a:rPr>
            <a:t>6</a:t>
          </a:r>
        </a:p>
      </cdr:txBody>
    </cdr:sp>
  </cdr:relSizeAnchor>
  <cdr:relSizeAnchor xmlns:cdr="http://schemas.openxmlformats.org/drawingml/2006/chartDrawing">
    <cdr:from>
      <cdr:x>0.61208</cdr:x>
      <cdr:y>0.44899</cdr:y>
    </cdr:from>
    <cdr:to>
      <cdr:x>0.65549</cdr:x>
      <cdr:y>0.52306</cdr:y>
    </cdr:to>
    <cdr:sp macro="" textlink="">
      <cdr:nvSpPr>
        <cdr:cNvPr id="8" name="Прямоугольник 7"/>
        <cdr:cNvSpPr/>
      </cdr:nvSpPr>
      <cdr:spPr>
        <a:xfrm xmlns:a="http://schemas.openxmlformats.org/drawingml/2006/main">
          <a:off x="3270673" y="1693538"/>
          <a:ext cx="231962" cy="279385"/>
        </a:xfrm>
        <a:prstGeom xmlns:a="http://schemas.openxmlformats.org/drawingml/2006/main" prst="rect">
          <a:avLst/>
        </a:prstGeom>
        <a:solidFill xmlns:a="http://schemas.openxmlformats.org/drawingml/2006/main">
          <a:schemeClr val="bg1"/>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ru-RU">
              <a:solidFill>
                <a:sysClr val="windowText" lastClr="000000"/>
              </a:solidFill>
              <a:latin typeface="Times New Roman" pitchFamily="18" charset="0"/>
              <a:cs typeface="Times New Roman" pitchFamily="18" charset="0"/>
            </a:rPr>
            <a:t>4</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967C84-E379-46DE-A0DD-67ED8F6A1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2648</TotalTime>
  <Pages>125</Pages>
  <Words>43829</Words>
  <Characters>249827</Characters>
  <Application>Microsoft Office Word</Application>
  <DocSecurity>0</DocSecurity>
  <Lines>2081</Lines>
  <Paragraphs>586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NKazakova</dc:creator>
  <cp:keywords/>
  <dc:description/>
  <cp:lastModifiedBy>NKazakova</cp:lastModifiedBy>
  <cp:revision>106</cp:revision>
  <cp:lastPrinted>2014-10-09T03:04:00Z</cp:lastPrinted>
  <dcterms:created xsi:type="dcterms:W3CDTF">2014-09-24T00:03:00Z</dcterms:created>
  <dcterms:modified xsi:type="dcterms:W3CDTF">2014-10-09T03:05:00Z</dcterms:modified>
</cp:coreProperties>
</file>